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F2E3C">
      <w:pPr>
        <w:suppressAutoHyphens/>
        <w:spacing w:before="312" w:after="312"/>
        <w:ind w:firstLine="361"/>
        <w:jc w:val="both"/>
        <w:rPr>
          <w:rFonts w:ascii="黑体" w:hAnsi="华文细黑" w:eastAsia="黑体"/>
          <w:b/>
          <w:color w:val="FF0000"/>
          <w:sz w:val="18"/>
          <w:szCs w:val="18"/>
        </w:rPr>
      </w:pPr>
      <w:bookmarkStart w:id="0" w:name="_GoBack"/>
      <w:bookmarkEnd w:id="0"/>
    </w:p>
    <w:p w14:paraId="5F3240DD">
      <w:pPr>
        <w:suppressAutoHyphens/>
        <w:spacing w:before="312" w:after="312"/>
        <w:ind w:firstLine="361"/>
        <w:jc w:val="left"/>
        <w:rPr>
          <w:rFonts w:ascii="黑体" w:hAnsi="华文细黑" w:eastAsia="黑体"/>
          <w:b/>
          <w:color w:val="FF0000"/>
          <w:sz w:val="18"/>
          <w:szCs w:val="18"/>
        </w:rPr>
      </w:pPr>
      <w:r>
        <w:rPr>
          <w:rFonts w:hint="eastAsia" w:ascii="宋体" w:hAnsi="宋体" w:cs="宋体"/>
          <w:b/>
          <w:sz w:val="28"/>
          <w:szCs w:val="28"/>
        </w:rPr>
        <w:t>NO:</w:t>
      </w:r>
      <w:r>
        <w:rPr>
          <w:rFonts w:hint="eastAsia" w:ascii="宋体" w:hAnsi="宋体" w:cs="宋体"/>
          <w:b/>
          <w:sz w:val="28"/>
          <w:szCs w:val="28"/>
          <w:u w:val="single"/>
        </w:rPr>
        <w:t xml:space="preserve">      </w:t>
      </w:r>
    </w:p>
    <w:p w14:paraId="64372B96">
      <w:pPr>
        <w:suppressAutoHyphens/>
        <w:spacing w:before="312" w:after="312" w:line="600" w:lineRule="exact"/>
        <w:rPr>
          <w:rFonts w:ascii="宋体" w:hAnsi="宋体" w:cs="宋体"/>
          <w:b/>
          <w:sz w:val="52"/>
          <w:szCs w:val="52"/>
        </w:rPr>
      </w:pPr>
    </w:p>
    <w:p w14:paraId="572F17D4">
      <w:pPr>
        <w:suppressAutoHyphens/>
        <w:spacing w:before="312" w:after="312" w:line="600" w:lineRule="exact"/>
        <w:rPr>
          <w:rFonts w:ascii="宋体" w:hAnsi="宋体" w:cs="宋体"/>
          <w:b/>
          <w:sz w:val="52"/>
          <w:szCs w:val="52"/>
        </w:rPr>
      </w:pPr>
    </w:p>
    <w:p w14:paraId="338FF9C7">
      <w:pPr>
        <w:suppressAutoHyphens/>
        <w:ind w:firstLine="1044"/>
        <w:jc w:val="center"/>
        <w:rPr>
          <w:rFonts w:ascii="宋体" w:hAnsi="宋体" w:cs="宋体"/>
          <w:b/>
          <w:sz w:val="52"/>
          <w:szCs w:val="52"/>
        </w:rPr>
      </w:pPr>
      <w:r>
        <w:rPr>
          <w:rFonts w:hint="eastAsia" w:ascii="宋体" w:hAnsi="宋体" w:cs="宋体"/>
          <w:b/>
          <w:sz w:val="52"/>
          <w:szCs w:val="52"/>
        </w:rPr>
        <w:t>新生支付有限公司</w:t>
      </w:r>
    </w:p>
    <w:p w14:paraId="356E0A6E">
      <w:pPr>
        <w:suppressAutoHyphens/>
        <w:ind w:firstLine="1044"/>
        <w:jc w:val="center"/>
        <w:rPr>
          <w:rFonts w:ascii="宋体" w:hAnsi="宋体" w:cs="宋体"/>
          <w:b/>
          <w:sz w:val="52"/>
          <w:szCs w:val="52"/>
        </w:rPr>
      </w:pPr>
      <w:r>
        <w:rPr>
          <w:rFonts w:hint="eastAsia" w:ascii="宋体" w:hAnsi="宋体" w:cs="宋体"/>
          <w:b/>
          <w:sz w:val="52"/>
          <w:szCs w:val="52"/>
        </w:rPr>
        <w:t>外包服务合作协议</w:t>
      </w:r>
    </w:p>
    <w:p w14:paraId="5992EE35">
      <w:pPr>
        <w:suppressAutoHyphens/>
        <w:ind w:firstLine="560"/>
        <w:jc w:val="center"/>
        <w:rPr>
          <w:rFonts w:ascii="宋体" w:hAnsi="宋体" w:cs="宋体"/>
          <w:sz w:val="28"/>
          <w:szCs w:val="28"/>
        </w:rPr>
      </w:pPr>
    </w:p>
    <w:p w14:paraId="74C955B2">
      <w:pPr>
        <w:suppressAutoHyphens/>
        <w:ind w:firstLine="560"/>
        <w:jc w:val="left"/>
        <w:rPr>
          <w:rFonts w:ascii="宋体" w:hAnsi="宋体" w:cs="宋体"/>
          <w:sz w:val="28"/>
          <w:szCs w:val="28"/>
        </w:rPr>
      </w:pPr>
    </w:p>
    <w:p w14:paraId="6AE983D3">
      <w:pPr>
        <w:suppressAutoHyphens/>
        <w:spacing w:line="400" w:lineRule="exact"/>
        <w:rPr>
          <w:rFonts w:ascii="宋体" w:hAnsi="宋体" w:cs="宋体"/>
          <w:szCs w:val="21"/>
        </w:rPr>
      </w:pPr>
    </w:p>
    <w:p w14:paraId="1B7320BA">
      <w:pPr>
        <w:suppressAutoHyphens/>
        <w:spacing w:line="400" w:lineRule="exact"/>
        <w:rPr>
          <w:rFonts w:ascii="宋体" w:hAnsi="宋体" w:cs="宋体"/>
          <w:szCs w:val="21"/>
        </w:rPr>
      </w:pPr>
    </w:p>
    <w:p w14:paraId="2ABB48C7">
      <w:pPr>
        <w:suppressAutoHyphens/>
        <w:spacing w:line="400" w:lineRule="exact"/>
        <w:rPr>
          <w:rFonts w:ascii="宋体" w:hAnsi="宋体" w:cs="宋体"/>
          <w:szCs w:val="21"/>
        </w:rPr>
      </w:pPr>
    </w:p>
    <w:p w14:paraId="6DE3BF86">
      <w:pPr>
        <w:suppressAutoHyphens/>
        <w:spacing w:line="20" w:lineRule="atLeast"/>
        <w:rPr>
          <w:rFonts w:ascii="宋体" w:hAnsi="宋体" w:cs="宋体"/>
          <w:szCs w:val="21"/>
        </w:rPr>
      </w:pPr>
    </w:p>
    <w:p w14:paraId="55377196">
      <w:pPr>
        <w:suppressAutoHyphens/>
        <w:spacing w:line="20" w:lineRule="atLeast"/>
        <w:rPr>
          <w:rFonts w:ascii="宋体" w:hAnsi="宋体" w:cs="宋体"/>
          <w:szCs w:val="21"/>
        </w:rPr>
      </w:pPr>
    </w:p>
    <w:p w14:paraId="4B0D75B6">
      <w:pPr>
        <w:suppressAutoHyphens/>
        <w:spacing w:line="20" w:lineRule="atLeast"/>
        <w:rPr>
          <w:rFonts w:ascii="宋体" w:hAnsi="宋体" w:cs="宋体"/>
          <w:szCs w:val="21"/>
        </w:rPr>
      </w:pPr>
    </w:p>
    <w:p w14:paraId="5E69A85F">
      <w:pPr>
        <w:suppressAutoHyphens/>
        <w:spacing w:line="20" w:lineRule="atLeast"/>
        <w:rPr>
          <w:rFonts w:ascii="宋体" w:hAnsi="宋体" w:cs="宋体"/>
          <w:szCs w:val="21"/>
        </w:rPr>
      </w:pPr>
    </w:p>
    <w:p w14:paraId="166D3BE0">
      <w:pPr>
        <w:suppressAutoHyphens/>
        <w:spacing w:line="20" w:lineRule="atLeast"/>
        <w:ind w:firstLine="482"/>
        <w:rPr>
          <w:rFonts w:ascii="宋体" w:hAnsi="宋体" w:cs="宋体"/>
          <w:b/>
          <w:szCs w:val="21"/>
        </w:rPr>
      </w:pPr>
    </w:p>
    <w:p w14:paraId="779EC169">
      <w:pPr>
        <w:suppressAutoHyphens/>
        <w:spacing w:line="400" w:lineRule="exact"/>
        <w:rPr>
          <w:rFonts w:ascii="宋体" w:hAnsi="宋体" w:cs="宋体"/>
          <w:szCs w:val="21"/>
        </w:rPr>
      </w:pPr>
    </w:p>
    <w:p w14:paraId="206ECC76">
      <w:pPr>
        <w:suppressAutoHyphens/>
        <w:spacing w:line="360" w:lineRule="auto"/>
        <w:ind w:firstLine="1273" w:firstLineChars="398"/>
        <w:jc w:val="left"/>
        <w:rPr>
          <w:rFonts w:ascii="宋体" w:hAnsi="宋体" w:cs="宋体"/>
          <w:sz w:val="32"/>
          <w:szCs w:val="32"/>
          <w:u w:val="single"/>
        </w:rPr>
      </w:pPr>
      <w:r>
        <w:rPr>
          <w:rFonts w:hint="eastAsia" w:ascii="宋体" w:hAnsi="宋体" w:cs="宋体"/>
          <w:sz w:val="32"/>
          <w:szCs w:val="32"/>
        </w:rPr>
        <w:t>甲    方：</w:t>
      </w:r>
      <w:r>
        <w:rPr>
          <w:rFonts w:hint="eastAsia" w:ascii="宋体" w:hAnsi="宋体" w:cs="宋体"/>
          <w:sz w:val="32"/>
          <w:szCs w:val="32"/>
          <w:u w:val="single"/>
        </w:rPr>
        <w:t xml:space="preserve"> 新生支付有限公司        </w:t>
      </w:r>
      <w:r>
        <w:rPr>
          <w:rFonts w:ascii="宋体" w:hAnsi="宋体" w:cs="宋体"/>
          <w:sz w:val="32"/>
          <w:szCs w:val="32"/>
          <w:u w:val="single"/>
        </w:rPr>
        <w:t xml:space="preserve"> </w:t>
      </w:r>
      <w:r>
        <w:rPr>
          <w:rFonts w:hint="eastAsia" w:ascii="宋体" w:hAnsi="宋体" w:cs="宋体"/>
          <w:sz w:val="32"/>
          <w:szCs w:val="32"/>
          <w:u w:val="single"/>
        </w:rPr>
        <w:t xml:space="preserve"> </w:t>
      </w:r>
    </w:p>
    <w:p w14:paraId="55A69352">
      <w:pPr>
        <w:suppressAutoHyphens/>
        <w:spacing w:line="360" w:lineRule="auto"/>
        <w:ind w:firstLine="1273" w:firstLineChars="398"/>
        <w:jc w:val="left"/>
        <w:rPr>
          <w:rFonts w:ascii="宋体" w:hAnsi="宋体" w:cs="宋体"/>
          <w:sz w:val="32"/>
          <w:szCs w:val="32"/>
          <w:u w:val="single"/>
        </w:rPr>
      </w:pPr>
      <w:r>
        <w:rPr>
          <w:rFonts w:hint="eastAsia" w:ascii="宋体" w:hAnsi="宋体" w:cs="宋体"/>
          <w:sz w:val="32"/>
          <w:szCs w:val="32"/>
        </w:rPr>
        <w:t>乙    方：</w:t>
      </w:r>
      <w:r>
        <w:rPr>
          <w:rFonts w:hint="eastAsia" w:ascii="宋体" w:hAnsi="宋体" w:cs="宋体"/>
          <w:sz w:val="32"/>
          <w:szCs w:val="32"/>
          <w:u w:val="single"/>
        </w:rPr>
        <w:t xml:space="preserve">                             </w:t>
      </w:r>
    </w:p>
    <w:p w14:paraId="726EA36D">
      <w:pPr>
        <w:suppressAutoHyphens/>
        <w:spacing w:line="360" w:lineRule="auto"/>
        <w:ind w:firstLine="1273" w:firstLineChars="398"/>
        <w:jc w:val="left"/>
        <w:rPr>
          <w:rFonts w:ascii="宋体" w:hAnsi="宋体" w:cs="宋体"/>
          <w:sz w:val="32"/>
          <w:szCs w:val="32"/>
          <w:u w:val="single"/>
        </w:rPr>
      </w:pPr>
      <w:r>
        <w:rPr>
          <w:rFonts w:hint="eastAsia" w:ascii="宋体" w:hAnsi="宋体" w:cs="宋体"/>
          <w:sz w:val="32"/>
          <w:szCs w:val="32"/>
        </w:rPr>
        <w:t>签约时间：</w:t>
      </w:r>
      <w:r>
        <w:rPr>
          <w:rFonts w:hint="eastAsia" w:ascii="宋体" w:hAnsi="宋体" w:cs="宋体"/>
          <w:sz w:val="32"/>
          <w:szCs w:val="32"/>
          <w:u w:val="single"/>
        </w:rPr>
        <w:t xml:space="preserve">                      </w:t>
      </w:r>
      <w:r>
        <w:rPr>
          <w:rFonts w:ascii="宋体" w:hAnsi="宋体" w:cs="宋体"/>
          <w:sz w:val="32"/>
          <w:szCs w:val="32"/>
          <w:u w:val="single"/>
        </w:rPr>
        <w:t xml:space="preserve"> </w:t>
      </w:r>
      <w:r>
        <w:rPr>
          <w:rFonts w:hint="eastAsia" w:ascii="宋体" w:hAnsi="宋体" w:cs="宋体"/>
          <w:sz w:val="32"/>
          <w:szCs w:val="32"/>
          <w:u w:val="single"/>
        </w:rPr>
        <w:t xml:space="preserve">  </w:t>
      </w:r>
      <w:r>
        <w:rPr>
          <w:rFonts w:ascii="宋体" w:hAnsi="宋体" w:cs="宋体"/>
          <w:sz w:val="32"/>
          <w:szCs w:val="32"/>
          <w:u w:val="single"/>
        </w:rPr>
        <w:t xml:space="preserve">  </w:t>
      </w:r>
      <w:r>
        <w:rPr>
          <w:rFonts w:hint="eastAsia" w:ascii="宋体" w:hAnsi="宋体" w:cs="宋体"/>
          <w:sz w:val="32"/>
          <w:szCs w:val="32"/>
          <w:u w:val="single"/>
        </w:rPr>
        <w:t xml:space="preserve"> </w:t>
      </w:r>
    </w:p>
    <w:p w14:paraId="1980895B">
      <w:pPr>
        <w:spacing w:line="360" w:lineRule="auto"/>
        <w:rPr>
          <w:rFonts w:ascii="宋体" w:hAnsi="宋体" w:cs="宋体"/>
          <w:sz w:val="24"/>
        </w:rPr>
      </w:pPr>
    </w:p>
    <w:p w14:paraId="73222C2A">
      <w:pPr>
        <w:spacing w:line="360" w:lineRule="auto"/>
        <w:rPr>
          <w:rFonts w:ascii="宋体" w:hAnsi="宋体" w:cs="宋体"/>
          <w:sz w:val="24"/>
        </w:rPr>
      </w:pPr>
    </w:p>
    <w:p w14:paraId="759431AD">
      <w:pPr>
        <w:spacing w:line="360" w:lineRule="auto"/>
        <w:rPr>
          <w:rFonts w:ascii="宋体" w:hAnsi="宋体" w:cs="宋体"/>
          <w:sz w:val="24"/>
        </w:rPr>
      </w:pPr>
    </w:p>
    <w:p w14:paraId="01054BBC">
      <w:pPr>
        <w:spacing w:line="360" w:lineRule="auto"/>
        <w:rPr>
          <w:rFonts w:ascii="宋体" w:hAnsi="宋体" w:cs="宋体"/>
          <w:bCs/>
          <w:sz w:val="24"/>
        </w:rPr>
      </w:pPr>
      <w:r>
        <w:rPr>
          <w:rFonts w:hint="eastAsia" w:ascii="宋体" w:hAnsi="宋体" w:cs="宋体"/>
          <w:bCs/>
          <w:sz w:val="24"/>
        </w:rPr>
        <w:t>甲方：新生支付有限公司</w:t>
      </w:r>
    </w:p>
    <w:p w14:paraId="4337242B">
      <w:pPr>
        <w:spacing w:line="360" w:lineRule="auto"/>
        <w:jc w:val="left"/>
        <w:rPr>
          <w:rFonts w:ascii="宋体" w:hAnsi="宋体" w:cs="宋体"/>
          <w:sz w:val="24"/>
        </w:rPr>
      </w:pPr>
      <w:r>
        <w:rPr>
          <w:rFonts w:hint="eastAsia" w:ascii="宋体" w:hAnsi="宋体" w:cs="宋体"/>
          <w:bCs/>
          <w:sz w:val="24"/>
        </w:rPr>
        <w:t xml:space="preserve">联系地址： </w:t>
      </w:r>
    </w:p>
    <w:p w14:paraId="35735A4B">
      <w:pPr>
        <w:spacing w:line="360" w:lineRule="auto"/>
        <w:jc w:val="left"/>
        <w:rPr>
          <w:rFonts w:ascii="宋体" w:hAnsi="宋体" w:cs="宋体"/>
          <w:sz w:val="24"/>
        </w:rPr>
      </w:pPr>
      <w:r>
        <w:rPr>
          <w:rFonts w:hint="eastAsia" w:ascii="宋体" w:hAnsi="宋体" w:cs="宋体"/>
          <w:sz w:val="24"/>
        </w:rPr>
        <w:t>联系人：</w:t>
      </w:r>
    </w:p>
    <w:p w14:paraId="255BB7EE">
      <w:pPr>
        <w:spacing w:line="360" w:lineRule="auto"/>
        <w:jc w:val="left"/>
        <w:rPr>
          <w:rFonts w:ascii="宋体" w:hAnsi="宋体" w:cs="宋体"/>
          <w:sz w:val="24"/>
        </w:rPr>
      </w:pPr>
      <w:r>
        <w:rPr>
          <w:rFonts w:hint="eastAsia" w:ascii="宋体" w:hAnsi="宋体" w:cs="宋体"/>
          <w:sz w:val="24"/>
        </w:rPr>
        <w:t>联系方式：</w:t>
      </w:r>
    </w:p>
    <w:p w14:paraId="4AABE048">
      <w:pPr>
        <w:spacing w:line="360" w:lineRule="auto"/>
        <w:jc w:val="left"/>
        <w:rPr>
          <w:rFonts w:ascii="宋体" w:hAnsi="宋体" w:cs="宋体"/>
          <w:sz w:val="24"/>
        </w:rPr>
      </w:pPr>
    </w:p>
    <w:p w14:paraId="3EC7F430">
      <w:pPr>
        <w:spacing w:line="360" w:lineRule="auto"/>
        <w:rPr>
          <w:rFonts w:ascii="宋体" w:hAnsi="宋体" w:cs="宋体"/>
          <w:bCs/>
          <w:sz w:val="24"/>
        </w:rPr>
      </w:pPr>
      <w:r>
        <w:rPr>
          <w:rFonts w:hint="eastAsia" w:ascii="宋体" w:hAnsi="宋体" w:cs="宋体"/>
          <w:sz w:val="24"/>
        </w:rPr>
        <w:t>乙方：</w:t>
      </w:r>
      <w:r>
        <w:rPr>
          <w:rFonts w:ascii="宋体" w:hAnsi="宋体" w:cs="宋体"/>
          <w:bCs/>
          <w:sz w:val="24"/>
        </w:rPr>
        <w:t xml:space="preserve"> </w:t>
      </w:r>
    </w:p>
    <w:p w14:paraId="17EF9A99">
      <w:pPr>
        <w:spacing w:line="360" w:lineRule="auto"/>
        <w:ind w:left="1200" w:hanging="1200" w:hangingChars="500"/>
        <w:rPr>
          <w:rFonts w:ascii="宋体" w:hAnsi="宋体" w:cs="宋体"/>
          <w:sz w:val="24"/>
        </w:rPr>
      </w:pPr>
      <w:r>
        <w:rPr>
          <w:rFonts w:hint="eastAsia" w:ascii="宋体" w:hAnsi="宋体" w:cs="宋体"/>
          <w:sz w:val="24"/>
        </w:rPr>
        <w:t>联系地址：</w:t>
      </w:r>
      <w:r>
        <w:rPr>
          <w:rFonts w:ascii="宋体" w:hAnsi="宋体" w:cs="宋体"/>
          <w:sz w:val="24"/>
        </w:rPr>
        <w:t xml:space="preserve"> </w:t>
      </w:r>
    </w:p>
    <w:p w14:paraId="5E0AAC28">
      <w:pPr>
        <w:spacing w:line="360" w:lineRule="auto"/>
        <w:rPr>
          <w:rFonts w:ascii="宋体" w:hAnsi="宋体" w:cs="宋体"/>
          <w:sz w:val="24"/>
        </w:rPr>
      </w:pPr>
      <w:r>
        <w:rPr>
          <w:rFonts w:hint="eastAsia" w:ascii="宋体" w:hAnsi="宋体" w:cs="宋体"/>
          <w:sz w:val="24"/>
        </w:rPr>
        <w:t>联系人：</w:t>
      </w:r>
      <w:r>
        <w:rPr>
          <w:rFonts w:ascii="宋体" w:hAnsi="宋体" w:cs="宋体"/>
          <w:sz w:val="24"/>
        </w:rPr>
        <w:t xml:space="preserve"> </w:t>
      </w:r>
    </w:p>
    <w:p w14:paraId="5A7B6CCC">
      <w:pPr>
        <w:spacing w:line="360" w:lineRule="auto"/>
        <w:rPr>
          <w:rFonts w:ascii="宋体" w:hAnsi="宋体" w:cs="宋体"/>
          <w:sz w:val="24"/>
        </w:rPr>
      </w:pPr>
      <w:r>
        <w:rPr>
          <w:rFonts w:hint="eastAsia" w:ascii="宋体" w:hAnsi="宋体" w:cs="宋体"/>
          <w:sz w:val="24"/>
        </w:rPr>
        <w:t>联系方式：</w:t>
      </w:r>
    </w:p>
    <w:p w14:paraId="4C09A806">
      <w:pPr>
        <w:spacing w:line="360" w:lineRule="auto"/>
        <w:ind w:firstLine="480" w:firstLineChars="200"/>
        <w:rPr>
          <w:rFonts w:ascii="宋体" w:hAnsi="宋体" w:cs="宋体"/>
          <w:sz w:val="24"/>
        </w:rPr>
      </w:pPr>
      <w:r>
        <w:rPr>
          <w:rFonts w:hint="eastAsia" w:ascii="宋体" w:hAnsi="宋体" w:cs="宋体"/>
          <w:sz w:val="24"/>
        </w:rPr>
        <w:t>甲乙双方本着长期友好、互惠互利、深入合作的原则，经过友好协商一致，达成如下协议（下称“本协议”）：</w:t>
      </w:r>
    </w:p>
    <w:p w14:paraId="297FC6D2">
      <w:pPr>
        <w:spacing w:line="360" w:lineRule="auto"/>
        <w:ind w:firstLine="482" w:firstLineChars="200"/>
        <w:rPr>
          <w:rFonts w:ascii="宋体" w:hAnsi="宋体" w:cs="宋体"/>
          <w:b/>
          <w:sz w:val="24"/>
        </w:rPr>
      </w:pPr>
      <w:r>
        <w:rPr>
          <w:rFonts w:hint="eastAsia" w:ascii="宋体" w:hAnsi="宋体" w:cs="宋体"/>
          <w:b/>
          <w:sz w:val="24"/>
        </w:rPr>
        <w:t>一、合作内容及区域范围</w:t>
      </w:r>
    </w:p>
    <w:p w14:paraId="25FB3B8F">
      <w:pPr>
        <w:spacing w:line="360" w:lineRule="auto"/>
        <w:ind w:firstLine="480" w:firstLineChars="200"/>
        <w:rPr>
          <w:rFonts w:ascii="宋体" w:hAnsi="宋体" w:cs="宋体"/>
          <w:sz w:val="24"/>
        </w:rPr>
      </w:pPr>
      <w:r>
        <w:rPr>
          <w:rFonts w:hint="eastAsia" w:ascii="宋体" w:hAnsi="宋体" w:cs="宋体"/>
          <w:sz w:val="24"/>
        </w:rPr>
        <w:t>1.甲乙双方以共同开拓O2O市场为战略合作基础，相互协调配合，乙方在甲方的授权委托下，开展以下支付服务业务：</w:t>
      </w:r>
    </w:p>
    <w:p w14:paraId="3228AB8D">
      <w:pPr>
        <w:spacing w:line="360" w:lineRule="auto"/>
        <w:ind w:firstLine="480" w:firstLineChars="200"/>
        <w:rPr>
          <w:rFonts w:ascii="宋体" w:hAnsi="宋体" w:cs="宋体"/>
          <w:sz w:val="24"/>
        </w:rPr>
      </w:pPr>
      <w:r>
        <w:rPr>
          <w:rFonts w:ascii="Segoe UI Symbol" w:hAnsi="Segoe UI Symbol" w:cs="Segoe UI Symbol"/>
          <w:sz w:val="24"/>
        </w:rPr>
        <w:t>☑</w:t>
      </w:r>
      <w:r>
        <w:rPr>
          <w:rFonts w:hint="eastAsia" w:ascii="宋体" w:hAnsi="宋体" w:cs="宋体"/>
          <w:sz w:val="24"/>
        </w:rPr>
        <w:t xml:space="preserve"> 银行卡收单服务</w:t>
      </w:r>
    </w:p>
    <w:p w14:paraId="5D4A0874">
      <w:pPr>
        <w:spacing w:line="360" w:lineRule="auto"/>
        <w:ind w:firstLine="480" w:firstLineChars="200"/>
        <w:rPr>
          <w:rFonts w:ascii="宋体" w:hAnsi="宋体" w:cs="宋体"/>
          <w:sz w:val="24"/>
        </w:rPr>
      </w:pPr>
      <w:r>
        <w:rPr>
          <w:rFonts w:ascii="Segoe UI Symbol" w:hAnsi="Segoe UI Symbol" w:cs="Segoe UI Symbol"/>
          <w:sz w:val="24"/>
        </w:rPr>
        <w:t>☑</w:t>
      </w:r>
      <w:r>
        <w:rPr>
          <w:rFonts w:hint="eastAsia" w:ascii="宋体" w:hAnsi="宋体" w:cs="宋体"/>
          <w:sz w:val="24"/>
        </w:rPr>
        <w:t xml:space="preserve"> 支付宝扫码支付服务</w:t>
      </w:r>
    </w:p>
    <w:p w14:paraId="7C3327DF">
      <w:pPr>
        <w:spacing w:line="360" w:lineRule="auto"/>
        <w:ind w:firstLine="480" w:firstLineChars="200"/>
        <w:rPr>
          <w:rFonts w:ascii="宋体" w:hAnsi="宋体" w:cs="宋体"/>
          <w:sz w:val="24"/>
        </w:rPr>
      </w:pPr>
      <w:r>
        <w:rPr>
          <w:rFonts w:ascii="Segoe UI Symbol" w:hAnsi="Segoe UI Symbol" w:cs="Segoe UI Symbol"/>
          <w:sz w:val="24"/>
        </w:rPr>
        <w:t>☑</w:t>
      </w:r>
      <w:r>
        <w:rPr>
          <w:rFonts w:hint="eastAsia" w:ascii="宋体" w:hAnsi="宋体" w:cs="宋体"/>
          <w:sz w:val="24"/>
        </w:rPr>
        <w:t xml:space="preserve"> 微信扫码支付服务</w:t>
      </w:r>
    </w:p>
    <w:p w14:paraId="518D9F21">
      <w:pPr>
        <w:spacing w:line="360" w:lineRule="auto"/>
        <w:ind w:firstLine="480" w:firstLineChars="200"/>
        <w:rPr>
          <w:rFonts w:ascii="宋体" w:hAnsi="宋体" w:cs="宋体"/>
          <w:sz w:val="24"/>
        </w:rPr>
      </w:pPr>
      <w:r>
        <w:rPr>
          <w:rFonts w:ascii="Segoe UI Symbol" w:hAnsi="Segoe UI Symbol" w:cs="Segoe UI Symbol"/>
          <w:sz w:val="24"/>
        </w:rPr>
        <w:t>☑</w:t>
      </w:r>
      <w:r>
        <w:rPr>
          <w:rFonts w:hint="eastAsia" w:ascii="宋体" w:hAnsi="宋体" w:cs="宋体"/>
          <w:sz w:val="24"/>
        </w:rPr>
        <w:t xml:space="preserve"> 银联二维码扫码支付服务</w:t>
      </w:r>
    </w:p>
    <w:p w14:paraId="411E9E6A">
      <w:pPr>
        <w:spacing w:line="360" w:lineRule="auto"/>
        <w:ind w:firstLine="480" w:firstLineChars="200"/>
        <w:rPr>
          <w:rFonts w:ascii="宋体" w:hAnsi="宋体" w:cs="宋体"/>
          <w:sz w:val="24"/>
        </w:rPr>
      </w:pPr>
      <w:r>
        <w:rPr>
          <w:rFonts w:hint="eastAsia" w:ascii="宋体" w:hAnsi="宋体" w:cs="宋体"/>
          <w:sz w:val="24"/>
        </w:rPr>
        <w:t>□ 其他支付服务：__________________________</w:t>
      </w:r>
    </w:p>
    <w:p w14:paraId="4EB011CA">
      <w:pPr>
        <w:numPr>
          <w:ilvl w:val="0"/>
          <w:numId w:val="1"/>
        </w:numPr>
        <w:spacing w:line="360" w:lineRule="auto"/>
        <w:ind w:firstLine="480" w:firstLineChars="200"/>
        <w:rPr>
          <w:rFonts w:ascii="宋体" w:hAnsi="宋体" w:cs="宋体"/>
          <w:sz w:val="24"/>
        </w:rPr>
      </w:pPr>
      <w:r>
        <w:rPr>
          <w:rFonts w:hint="eastAsia" w:ascii="宋体" w:hAnsi="宋体" w:cs="宋体"/>
          <w:sz w:val="24"/>
        </w:rPr>
        <w:t>乙方在甲方的授权委托下，向甲方提供以下业务服务范围：</w:t>
      </w:r>
    </w:p>
    <w:p w14:paraId="53A73E96">
      <w:pPr>
        <w:spacing w:line="360" w:lineRule="auto"/>
        <w:ind w:firstLine="480" w:firstLineChars="200"/>
        <w:rPr>
          <w:rFonts w:ascii="宋体" w:hAnsi="宋体" w:cs="宋体"/>
          <w:sz w:val="24"/>
        </w:rPr>
      </w:pPr>
      <w:r>
        <w:rPr>
          <w:rFonts w:hint="eastAsia" w:ascii="宋体" w:hAnsi="宋体" w:cs="宋体"/>
          <w:sz w:val="24"/>
        </w:rPr>
        <w:t>特约商户推荐 ☑；受理标识张贴 ☑；特约商户培训 ☑；受理终端布放和维护 ☑；聚合支付技术服务☑；</w:t>
      </w:r>
    </w:p>
    <w:p w14:paraId="5218CFEA">
      <w:pPr>
        <w:spacing w:line="360" w:lineRule="auto"/>
        <w:ind w:firstLine="480" w:firstLineChars="200"/>
        <w:rPr>
          <w:rFonts w:ascii="宋体" w:hAnsi="宋体" w:cs="宋体"/>
          <w:sz w:val="24"/>
        </w:rPr>
      </w:pPr>
      <w:r>
        <w:rPr>
          <w:rFonts w:hint="eastAsia" w:ascii="宋体" w:hAnsi="宋体" w:cs="宋体"/>
          <w:sz w:val="24"/>
        </w:rPr>
        <w:t>其他收单外包服务：__________________________</w:t>
      </w:r>
    </w:p>
    <w:p w14:paraId="1CED3288">
      <w:pPr>
        <w:spacing w:line="360" w:lineRule="auto"/>
        <w:ind w:firstLine="480" w:firstLineChars="200"/>
        <w:rPr>
          <w:rFonts w:ascii="宋体" w:hAnsi="宋体" w:cs="宋体"/>
          <w:sz w:val="24"/>
        </w:rPr>
      </w:pPr>
      <w:r>
        <w:rPr>
          <w:rFonts w:hint="eastAsia" w:ascii="宋体" w:hAnsi="宋体" w:cs="宋体"/>
          <w:sz w:val="24"/>
        </w:rPr>
        <w:t>3.线下收单及线下扫码支付业务区域范围仅限浙江省、江苏省、四川省、福建省和海南省。</w:t>
      </w:r>
    </w:p>
    <w:p w14:paraId="52B83BCF">
      <w:pPr>
        <w:pStyle w:val="8"/>
        <w:spacing w:before="0" w:after="0" w:line="360" w:lineRule="auto"/>
        <w:ind w:firstLine="482" w:firstLineChars="200"/>
        <w:jc w:val="left"/>
        <w:rPr>
          <w:rFonts w:ascii="宋体" w:hAnsi="宋体" w:cs="宋体"/>
          <w:sz w:val="24"/>
          <w:szCs w:val="24"/>
        </w:rPr>
      </w:pPr>
      <w:r>
        <w:rPr>
          <w:rFonts w:hint="eastAsia" w:ascii="宋体" w:hAnsi="宋体" w:cs="宋体"/>
          <w:sz w:val="24"/>
          <w:szCs w:val="24"/>
        </w:rPr>
        <w:t>二、定义</w:t>
      </w:r>
    </w:p>
    <w:p w14:paraId="00DB5B14">
      <w:pPr>
        <w:spacing w:line="360" w:lineRule="auto"/>
        <w:ind w:firstLine="480" w:firstLineChars="200"/>
        <w:rPr>
          <w:rFonts w:ascii="宋体" w:hAnsi="宋体" w:cs="宋体"/>
          <w:sz w:val="24"/>
        </w:rPr>
      </w:pPr>
      <w:r>
        <w:rPr>
          <w:rFonts w:hint="eastAsia" w:ascii="宋体" w:hAnsi="宋体" w:cs="宋体"/>
          <w:sz w:val="24"/>
        </w:rPr>
        <w:t>1、银行卡收单是指通过银行卡受理终端，为银行卡特约商户代收货币资金的行为，签约机构为特约商户提供安装POS机具、POS业务培训、POS资金结算、差错处理、受理投诉和咨询、机具日常维护管理、商户POS风险管理等服务。</w:t>
      </w:r>
    </w:p>
    <w:p w14:paraId="7A41D0CC">
      <w:pPr>
        <w:spacing w:line="360" w:lineRule="auto"/>
        <w:ind w:firstLine="480" w:firstLineChars="200"/>
        <w:rPr>
          <w:rFonts w:ascii="宋体" w:hAnsi="宋体" w:cs="宋体"/>
          <w:sz w:val="24"/>
        </w:rPr>
      </w:pPr>
      <w:r>
        <w:rPr>
          <w:rFonts w:hint="eastAsia" w:ascii="宋体" w:hAnsi="宋体" w:cs="宋体"/>
          <w:sz w:val="24"/>
        </w:rPr>
        <w:t>2、扫码支付是指向特约商户提供的、通过手机等移动终端实现收、付款人之间货币资金转移的行为。扫码支付业务包括付款扫码和收款扫码。</w:t>
      </w:r>
    </w:p>
    <w:p w14:paraId="49F42DB4">
      <w:pPr>
        <w:spacing w:line="360" w:lineRule="auto"/>
        <w:ind w:firstLine="480" w:firstLineChars="200"/>
        <w:rPr>
          <w:rFonts w:ascii="宋体" w:hAnsi="宋体" w:cs="宋体"/>
          <w:sz w:val="24"/>
        </w:rPr>
      </w:pPr>
      <w:r>
        <w:rPr>
          <w:rFonts w:hint="eastAsia" w:ascii="宋体" w:hAnsi="宋体" w:cs="宋体"/>
          <w:sz w:val="24"/>
        </w:rPr>
        <w:t>3、付款扫码是指付款人通过移动终端读取收款人展示的二维码完成支付的行为。</w:t>
      </w:r>
    </w:p>
    <w:p w14:paraId="378A20B1">
      <w:pPr>
        <w:spacing w:line="360" w:lineRule="auto"/>
        <w:ind w:firstLine="480" w:firstLineChars="200"/>
        <w:rPr>
          <w:rFonts w:ascii="宋体" w:hAnsi="宋体" w:cs="宋体"/>
          <w:sz w:val="24"/>
        </w:rPr>
      </w:pPr>
      <w:r>
        <w:rPr>
          <w:rFonts w:hint="eastAsia" w:ascii="宋体" w:hAnsi="宋体" w:cs="宋体"/>
          <w:sz w:val="24"/>
        </w:rPr>
        <w:t>4、收款扫码是指收款人通过读取付款人移动终端展示的二维码完成支付的行为。</w:t>
      </w:r>
    </w:p>
    <w:p w14:paraId="4914F905">
      <w:pPr>
        <w:spacing w:line="360" w:lineRule="auto"/>
        <w:ind w:firstLine="480" w:firstLineChars="200"/>
        <w:rPr>
          <w:rFonts w:ascii="宋体" w:hAnsi="宋体" w:cs="宋体"/>
          <w:sz w:val="24"/>
        </w:rPr>
      </w:pPr>
      <w:r>
        <w:rPr>
          <w:rFonts w:hint="eastAsia" w:ascii="宋体" w:hAnsi="宋体" w:cs="宋体"/>
          <w:sz w:val="24"/>
        </w:rPr>
        <w:t>5、特约商户是指</w:t>
      </w:r>
      <w:r>
        <w:rPr>
          <w:rFonts w:hint="eastAsia" w:ascii="宋体" w:hAnsi="宋体" w:cs="宋体"/>
          <w:sz w:val="24"/>
          <w:lang w:eastAsia="zh-CN"/>
        </w:rPr>
        <w:t>乙方</w:t>
      </w:r>
      <w:r>
        <w:rPr>
          <w:rFonts w:hint="eastAsia" w:ascii="宋体" w:hAnsi="宋体" w:cs="宋体"/>
          <w:sz w:val="24"/>
        </w:rPr>
        <w:t>拓展的给用户提供商品或服务的商家。</w:t>
      </w:r>
    </w:p>
    <w:p w14:paraId="44A22309">
      <w:pPr>
        <w:spacing w:line="360" w:lineRule="auto"/>
        <w:ind w:firstLine="480" w:firstLineChars="200"/>
        <w:rPr>
          <w:rFonts w:ascii="宋体" w:hAnsi="宋体" w:cs="宋体"/>
          <w:sz w:val="24"/>
        </w:rPr>
      </w:pPr>
      <w:r>
        <w:rPr>
          <w:rFonts w:hint="eastAsia" w:ascii="宋体" w:hAnsi="宋体" w:cs="宋体"/>
          <w:sz w:val="24"/>
        </w:rPr>
        <w:t>6、用户是指基于支付工具（银行卡受理终端、微信、支付宝和银联二维码）在商家购买产品或服务的买家或持卡人，本协议中统称为用户。</w:t>
      </w:r>
    </w:p>
    <w:p w14:paraId="1B26F187">
      <w:pPr>
        <w:pStyle w:val="8"/>
        <w:spacing w:before="0" w:after="0" w:line="360" w:lineRule="auto"/>
        <w:ind w:firstLine="482" w:firstLineChars="200"/>
        <w:jc w:val="left"/>
        <w:rPr>
          <w:rFonts w:ascii="宋体" w:hAnsi="宋体" w:cs="宋体"/>
          <w:sz w:val="24"/>
          <w:szCs w:val="24"/>
        </w:rPr>
      </w:pPr>
      <w:r>
        <w:rPr>
          <w:rFonts w:hint="eastAsia" w:ascii="宋体" w:hAnsi="宋体" w:cs="宋体"/>
          <w:sz w:val="24"/>
          <w:szCs w:val="24"/>
        </w:rPr>
        <w:t>三、费用和分润政策</w:t>
      </w:r>
    </w:p>
    <w:p w14:paraId="400C990A">
      <w:pPr>
        <w:pStyle w:val="16"/>
        <w:spacing w:line="360" w:lineRule="auto"/>
        <w:ind w:firstLine="480"/>
        <w:rPr>
          <w:rFonts w:ascii="宋体" w:hAnsi="宋体" w:cs="宋体"/>
          <w:sz w:val="24"/>
        </w:rPr>
      </w:pPr>
      <w:r>
        <w:rPr>
          <w:rFonts w:hint="eastAsia" w:ascii="宋体" w:hAnsi="宋体" w:cs="宋体"/>
          <w:sz w:val="24"/>
          <w:szCs w:val="24"/>
        </w:rPr>
        <w:t>1、通过乙方推荐的商户，根据不同合作业务，甲方收取相应结算费率（如下表所示）后，剩余手续费收益，由相关方结算至乙方指定账户，银行卡收单</w:t>
      </w:r>
      <w:r>
        <w:rPr>
          <w:rFonts w:hint="eastAsia" w:ascii="宋体" w:hAnsi="宋体" w:cs="宋体"/>
          <w:sz w:val="24"/>
        </w:rPr>
        <w:t>由</w:t>
      </w:r>
      <w:r>
        <w:rPr>
          <w:rFonts w:hint="eastAsia" w:ascii="宋体" w:hAnsi="宋体" w:cs="宋体"/>
          <w:sz w:val="24"/>
          <w:szCs w:val="24"/>
        </w:rPr>
        <w:t xml:space="preserve">甲方按 </w:t>
      </w:r>
      <w:r>
        <w:rPr>
          <w:rFonts w:hint="eastAsia" w:ascii="宋体" w:hAnsi="宋体" w:cs="宋体"/>
          <w:sz w:val="24"/>
          <w:szCs w:val="24"/>
          <w:u w:val="single"/>
        </w:rPr>
        <w:t xml:space="preserve">月 </w:t>
      </w:r>
      <w:r>
        <w:rPr>
          <w:rFonts w:hint="eastAsia" w:ascii="宋体" w:hAnsi="宋体" w:cs="宋体"/>
          <w:sz w:val="24"/>
          <w:szCs w:val="24"/>
        </w:rPr>
        <w:t>结算至乙方指定账户。</w:t>
      </w:r>
    </w:p>
    <w:p w14:paraId="3E57FC09">
      <w:pPr>
        <w:pStyle w:val="16"/>
        <w:spacing w:line="360" w:lineRule="auto"/>
        <w:ind w:left="6630" w:firstLine="480" w:firstLineChars="0"/>
        <w:rPr>
          <w:rFonts w:ascii="宋体" w:hAnsi="宋体" w:cs="宋体"/>
          <w:sz w:val="24"/>
          <w:szCs w:val="24"/>
        </w:rPr>
      </w:pPr>
    </w:p>
    <w:tbl>
      <w:tblPr>
        <w:tblStyle w:val="10"/>
        <w:tblW w:w="6804" w:type="dxa"/>
        <w:jc w:val="center"/>
        <w:tblLayout w:type="autofit"/>
        <w:tblCellMar>
          <w:top w:w="0" w:type="dxa"/>
          <w:left w:w="108" w:type="dxa"/>
          <w:bottom w:w="0" w:type="dxa"/>
          <w:right w:w="108" w:type="dxa"/>
        </w:tblCellMar>
      </w:tblPr>
      <w:tblGrid>
        <w:gridCol w:w="2000"/>
        <w:gridCol w:w="1261"/>
        <w:gridCol w:w="1417"/>
        <w:gridCol w:w="2126"/>
      </w:tblGrid>
      <w:tr w14:paraId="1E92F43D">
        <w:tblPrEx>
          <w:tblCellMar>
            <w:top w:w="0" w:type="dxa"/>
            <w:left w:w="108" w:type="dxa"/>
            <w:bottom w:w="0" w:type="dxa"/>
            <w:right w:w="108" w:type="dxa"/>
          </w:tblCellMar>
        </w:tblPrEx>
        <w:trPr>
          <w:trHeight w:val="300" w:hRule="atLeast"/>
          <w:jc w:val="center"/>
        </w:trPr>
        <w:tc>
          <w:tcPr>
            <w:tcW w:w="2000" w:type="dxa"/>
            <w:tcBorders>
              <w:top w:val="single" w:color="auto" w:sz="4" w:space="0"/>
              <w:left w:val="single" w:color="auto" w:sz="4" w:space="0"/>
              <w:bottom w:val="single" w:color="auto" w:sz="4" w:space="0"/>
              <w:right w:val="single" w:color="auto" w:sz="4" w:space="0"/>
            </w:tcBorders>
            <w:shd w:val="clear" w:color="auto" w:fill="auto"/>
          </w:tcPr>
          <w:p w14:paraId="5F59D2AC">
            <w:pPr>
              <w:widowControl/>
              <w:ind w:firstLine="482"/>
              <w:jc w:val="center"/>
              <w:rPr>
                <w:rFonts w:ascii="宋体" w:hAnsi="宋体" w:cs="宋体"/>
                <w:b/>
                <w:color w:val="000000"/>
                <w:kern w:val="0"/>
                <w:sz w:val="24"/>
              </w:rPr>
            </w:pPr>
            <w:r>
              <w:rPr>
                <w:rFonts w:hint="eastAsia" w:ascii="宋体" w:hAnsi="宋体" w:cs="宋体"/>
                <w:b/>
                <w:color w:val="000000"/>
                <w:kern w:val="0"/>
                <w:sz w:val="24"/>
              </w:rPr>
              <w:t>合作产品</w:t>
            </w:r>
          </w:p>
        </w:tc>
        <w:tc>
          <w:tcPr>
            <w:tcW w:w="2678" w:type="dxa"/>
            <w:gridSpan w:val="2"/>
            <w:tcBorders>
              <w:top w:val="single" w:color="auto" w:sz="4" w:space="0"/>
              <w:left w:val="nil"/>
              <w:bottom w:val="single" w:color="auto" w:sz="4" w:space="0"/>
              <w:right w:val="single" w:color="auto" w:sz="4" w:space="0"/>
            </w:tcBorders>
            <w:shd w:val="clear" w:color="auto" w:fill="auto"/>
          </w:tcPr>
          <w:p w14:paraId="13F3F737">
            <w:pPr>
              <w:widowControl/>
              <w:ind w:firstLine="482"/>
              <w:jc w:val="center"/>
              <w:rPr>
                <w:rFonts w:ascii="宋体" w:hAnsi="宋体" w:cs="宋体"/>
                <w:b/>
                <w:color w:val="000000"/>
                <w:kern w:val="0"/>
                <w:sz w:val="24"/>
              </w:rPr>
            </w:pPr>
            <w:r>
              <w:rPr>
                <w:rFonts w:hint="eastAsia" w:ascii="宋体" w:hAnsi="宋体" w:cs="宋体"/>
                <w:b/>
                <w:color w:val="000000"/>
                <w:kern w:val="0"/>
                <w:sz w:val="24"/>
              </w:rPr>
              <w:t>商户组别/行业</w:t>
            </w:r>
          </w:p>
        </w:tc>
        <w:tc>
          <w:tcPr>
            <w:tcW w:w="2126" w:type="dxa"/>
            <w:tcBorders>
              <w:top w:val="single" w:color="auto" w:sz="4" w:space="0"/>
              <w:left w:val="nil"/>
              <w:bottom w:val="single" w:color="auto" w:sz="4" w:space="0"/>
              <w:right w:val="single" w:color="auto" w:sz="4" w:space="0"/>
            </w:tcBorders>
            <w:shd w:val="clear" w:color="auto" w:fill="auto"/>
          </w:tcPr>
          <w:p w14:paraId="115FAD95">
            <w:pPr>
              <w:widowControl/>
              <w:jc w:val="center"/>
              <w:rPr>
                <w:rFonts w:ascii="宋体" w:hAnsi="宋体" w:cs="宋体"/>
                <w:b/>
                <w:color w:val="000000"/>
                <w:kern w:val="0"/>
                <w:sz w:val="24"/>
              </w:rPr>
            </w:pPr>
            <w:r>
              <w:rPr>
                <w:rFonts w:hint="eastAsia" w:ascii="宋体" w:hAnsi="宋体" w:cs="宋体"/>
                <w:b/>
                <w:color w:val="000000"/>
                <w:kern w:val="0"/>
                <w:sz w:val="24"/>
              </w:rPr>
              <w:t>乙方结算费率</w:t>
            </w:r>
          </w:p>
        </w:tc>
      </w:tr>
      <w:tr w14:paraId="254A3211">
        <w:tblPrEx>
          <w:tblCellMar>
            <w:top w:w="0" w:type="dxa"/>
            <w:left w:w="108" w:type="dxa"/>
            <w:bottom w:w="0" w:type="dxa"/>
            <w:right w:w="108" w:type="dxa"/>
          </w:tblCellMar>
        </w:tblPrEx>
        <w:trPr>
          <w:trHeight w:val="300" w:hRule="atLeast"/>
          <w:jc w:val="center"/>
        </w:trPr>
        <w:tc>
          <w:tcPr>
            <w:tcW w:w="2000" w:type="dxa"/>
            <w:vMerge w:val="restart"/>
            <w:tcBorders>
              <w:top w:val="nil"/>
              <w:left w:val="single" w:color="auto" w:sz="4" w:space="0"/>
              <w:bottom w:val="single" w:color="auto" w:sz="4" w:space="0"/>
              <w:right w:val="single" w:color="auto" w:sz="4" w:space="0"/>
            </w:tcBorders>
            <w:shd w:val="clear" w:color="auto" w:fill="auto"/>
            <w:noWrap/>
            <w:vAlign w:val="center"/>
          </w:tcPr>
          <w:p w14:paraId="06B08A1A">
            <w:pPr>
              <w:widowControl/>
              <w:jc w:val="center"/>
              <w:rPr>
                <w:rFonts w:ascii="宋体" w:hAnsi="宋体" w:cs="宋体"/>
                <w:color w:val="000000"/>
                <w:kern w:val="0"/>
                <w:sz w:val="24"/>
              </w:rPr>
            </w:pPr>
            <w:r>
              <w:rPr>
                <w:rFonts w:hint="eastAsia" w:ascii="宋体" w:hAnsi="宋体" w:cs="宋体"/>
                <w:color w:val="000000"/>
                <w:kern w:val="0"/>
                <w:sz w:val="24"/>
              </w:rPr>
              <w:t>银行卡收单</w:t>
            </w:r>
          </w:p>
        </w:tc>
        <w:tc>
          <w:tcPr>
            <w:tcW w:w="1261" w:type="dxa"/>
            <w:vMerge w:val="restart"/>
            <w:tcBorders>
              <w:top w:val="nil"/>
              <w:left w:val="single" w:color="auto" w:sz="4" w:space="0"/>
              <w:bottom w:val="single" w:color="auto" w:sz="4" w:space="0"/>
              <w:right w:val="single" w:color="auto" w:sz="4" w:space="0"/>
            </w:tcBorders>
            <w:shd w:val="clear" w:color="auto" w:fill="auto"/>
            <w:vAlign w:val="center"/>
          </w:tcPr>
          <w:p w14:paraId="3DAEB4ED">
            <w:pPr>
              <w:widowControl/>
              <w:jc w:val="center"/>
              <w:rPr>
                <w:rFonts w:ascii="宋体" w:hAnsi="宋体" w:cs="宋体"/>
                <w:color w:val="000000"/>
                <w:kern w:val="0"/>
                <w:sz w:val="24"/>
              </w:rPr>
            </w:pPr>
            <w:r>
              <w:rPr>
                <w:rFonts w:hint="eastAsia" w:ascii="宋体" w:hAnsi="宋体" w:cs="宋体"/>
                <w:color w:val="000000"/>
                <w:kern w:val="0"/>
                <w:sz w:val="24"/>
              </w:rPr>
              <w:t>标准商户</w:t>
            </w:r>
          </w:p>
        </w:tc>
        <w:tc>
          <w:tcPr>
            <w:tcW w:w="1417" w:type="dxa"/>
            <w:tcBorders>
              <w:top w:val="nil"/>
              <w:left w:val="nil"/>
              <w:bottom w:val="single" w:color="auto" w:sz="4" w:space="0"/>
              <w:right w:val="single" w:color="auto" w:sz="4" w:space="0"/>
            </w:tcBorders>
            <w:shd w:val="clear" w:color="auto" w:fill="auto"/>
            <w:vAlign w:val="center"/>
          </w:tcPr>
          <w:p w14:paraId="725FCBC0">
            <w:pPr>
              <w:widowControl/>
              <w:jc w:val="center"/>
              <w:rPr>
                <w:rFonts w:ascii="宋体" w:hAnsi="宋体" w:cs="宋体"/>
                <w:color w:val="000000"/>
                <w:kern w:val="0"/>
                <w:sz w:val="24"/>
              </w:rPr>
            </w:pPr>
            <w:r>
              <w:rPr>
                <w:rFonts w:hint="eastAsia" w:ascii="宋体" w:hAnsi="宋体" w:cs="宋体"/>
                <w:color w:val="000000"/>
                <w:kern w:val="0"/>
                <w:sz w:val="24"/>
              </w:rPr>
              <w:t>借记卡</w:t>
            </w:r>
          </w:p>
        </w:tc>
        <w:tc>
          <w:tcPr>
            <w:tcW w:w="2126" w:type="dxa"/>
            <w:tcBorders>
              <w:top w:val="nil"/>
              <w:left w:val="nil"/>
              <w:bottom w:val="single" w:color="auto" w:sz="4" w:space="0"/>
              <w:right w:val="single" w:color="auto" w:sz="4" w:space="0"/>
            </w:tcBorders>
            <w:shd w:val="clear" w:color="auto" w:fill="auto"/>
            <w:noWrap/>
            <w:vAlign w:val="center"/>
          </w:tcPr>
          <w:p w14:paraId="601874EB">
            <w:pPr>
              <w:widowControl/>
              <w:jc w:val="center"/>
              <w:rPr>
                <w:rFonts w:ascii="宋体" w:hAnsi="宋体" w:cs="宋体"/>
                <w:color w:val="000000"/>
                <w:kern w:val="0"/>
                <w:sz w:val="24"/>
              </w:rPr>
            </w:pPr>
          </w:p>
        </w:tc>
      </w:tr>
      <w:tr w14:paraId="620FE5ED">
        <w:tblPrEx>
          <w:tblCellMar>
            <w:top w:w="0" w:type="dxa"/>
            <w:left w:w="108" w:type="dxa"/>
            <w:bottom w:w="0" w:type="dxa"/>
            <w:right w:w="108" w:type="dxa"/>
          </w:tblCellMar>
        </w:tblPrEx>
        <w:trPr>
          <w:trHeight w:val="30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2A6F6FB9">
            <w:pPr>
              <w:widowControl/>
              <w:jc w:val="left"/>
              <w:rPr>
                <w:rFonts w:ascii="宋体" w:hAnsi="宋体" w:cs="宋体"/>
                <w:color w:val="000000"/>
                <w:kern w:val="0"/>
                <w:sz w:val="24"/>
              </w:rPr>
            </w:pPr>
          </w:p>
        </w:tc>
        <w:tc>
          <w:tcPr>
            <w:tcW w:w="1261" w:type="dxa"/>
            <w:vMerge w:val="continue"/>
            <w:tcBorders>
              <w:top w:val="nil"/>
              <w:left w:val="single" w:color="auto" w:sz="4" w:space="0"/>
              <w:bottom w:val="single" w:color="auto" w:sz="4" w:space="0"/>
              <w:right w:val="single" w:color="auto" w:sz="4" w:space="0"/>
            </w:tcBorders>
            <w:vAlign w:val="center"/>
          </w:tcPr>
          <w:p w14:paraId="101DD2DE">
            <w:pPr>
              <w:widowControl/>
              <w:jc w:val="left"/>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14:paraId="632F4D23">
            <w:pPr>
              <w:widowControl/>
              <w:jc w:val="center"/>
              <w:rPr>
                <w:rFonts w:ascii="宋体" w:hAnsi="宋体" w:cs="宋体"/>
                <w:color w:val="000000"/>
                <w:kern w:val="0"/>
                <w:sz w:val="24"/>
              </w:rPr>
            </w:pPr>
            <w:r>
              <w:rPr>
                <w:rFonts w:hint="eastAsia" w:ascii="宋体" w:hAnsi="宋体" w:cs="宋体"/>
                <w:color w:val="000000"/>
                <w:kern w:val="0"/>
                <w:sz w:val="24"/>
              </w:rPr>
              <w:t>贷记卡</w:t>
            </w:r>
          </w:p>
        </w:tc>
        <w:tc>
          <w:tcPr>
            <w:tcW w:w="2126" w:type="dxa"/>
            <w:tcBorders>
              <w:top w:val="nil"/>
              <w:left w:val="nil"/>
              <w:bottom w:val="single" w:color="auto" w:sz="4" w:space="0"/>
              <w:right w:val="single" w:color="auto" w:sz="4" w:space="0"/>
            </w:tcBorders>
            <w:shd w:val="clear" w:color="auto" w:fill="auto"/>
            <w:noWrap/>
            <w:vAlign w:val="center"/>
          </w:tcPr>
          <w:p w14:paraId="28AF244A">
            <w:pPr>
              <w:widowControl/>
              <w:jc w:val="center"/>
              <w:rPr>
                <w:rFonts w:ascii="宋体" w:hAnsi="宋体" w:cs="宋体"/>
                <w:color w:val="000000"/>
                <w:kern w:val="0"/>
                <w:sz w:val="24"/>
              </w:rPr>
            </w:pPr>
          </w:p>
        </w:tc>
      </w:tr>
      <w:tr w14:paraId="5C38C5BA">
        <w:tblPrEx>
          <w:tblCellMar>
            <w:top w:w="0" w:type="dxa"/>
            <w:left w:w="108" w:type="dxa"/>
            <w:bottom w:w="0" w:type="dxa"/>
            <w:right w:w="108" w:type="dxa"/>
          </w:tblCellMar>
        </w:tblPrEx>
        <w:trPr>
          <w:trHeight w:val="30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16F49409">
            <w:pPr>
              <w:widowControl/>
              <w:jc w:val="left"/>
              <w:rPr>
                <w:rFonts w:ascii="宋体" w:hAnsi="宋体" w:cs="宋体"/>
                <w:color w:val="000000"/>
                <w:kern w:val="0"/>
                <w:sz w:val="24"/>
              </w:rPr>
            </w:pPr>
          </w:p>
        </w:tc>
        <w:tc>
          <w:tcPr>
            <w:tcW w:w="1261" w:type="dxa"/>
            <w:vMerge w:val="continue"/>
            <w:tcBorders>
              <w:top w:val="nil"/>
              <w:left w:val="single" w:color="auto" w:sz="4" w:space="0"/>
              <w:bottom w:val="single" w:color="auto" w:sz="4" w:space="0"/>
              <w:right w:val="single" w:color="auto" w:sz="4" w:space="0"/>
            </w:tcBorders>
            <w:vAlign w:val="center"/>
          </w:tcPr>
          <w:p w14:paraId="3FDFD611">
            <w:pPr>
              <w:widowControl/>
              <w:jc w:val="left"/>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14:paraId="092417E1">
            <w:pPr>
              <w:widowControl/>
              <w:jc w:val="center"/>
              <w:rPr>
                <w:rFonts w:ascii="宋体" w:hAnsi="宋体" w:cs="宋体"/>
                <w:color w:val="000000"/>
                <w:kern w:val="0"/>
                <w:sz w:val="24"/>
              </w:rPr>
            </w:pPr>
            <w:r>
              <w:rPr>
                <w:rFonts w:hint="eastAsia" w:ascii="宋体" w:hAnsi="宋体" w:cs="宋体"/>
                <w:color w:val="000000"/>
                <w:kern w:val="0"/>
                <w:sz w:val="24"/>
              </w:rPr>
              <w:t>外卡</w:t>
            </w:r>
          </w:p>
        </w:tc>
        <w:tc>
          <w:tcPr>
            <w:tcW w:w="2126" w:type="dxa"/>
            <w:tcBorders>
              <w:top w:val="nil"/>
              <w:left w:val="nil"/>
              <w:bottom w:val="single" w:color="auto" w:sz="4" w:space="0"/>
              <w:right w:val="single" w:color="auto" w:sz="4" w:space="0"/>
            </w:tcBorders>
            <w:shd w:val="clear" w:color="auto" w:fill="auto"/>
            <w:noWrap/>
            <w:vAlign w:val="center"/>
          </w:tcPr>
          <w:p w14:paraId="48B4D413">
            <w:pPr>
              <w:widowControl/>
              <w:jc w:val="center"/>
              <w:rPr>
                <w:rFonts w:ascii="宋体" w:hAnsi="宋体" w:cs="宋体"/>
                <w:color w:val="000000"/>
                <w:kern w:val="0"/>
                <w:sz w:val="24"/>
              </w:rPr>
            </w:pPr>
          </w:p>
        </w:tc>
      </w:tr>
      <w:tr w14:paraId="6718F030">
        <w:tblPrEx>
          <w:tblCellMar>
            <w:top w:w="0" w:type="dxa"/>
            <w:left w:w="108" w:type="dxa"/>
            <w:bottom w:w="0" w:type="dxa"/>
            <w:right w:w="108" w:type="dxa"/>
          </w:tblCellMar>
        </w:tblPrEx>
        <w:trPr>
          <w:trHeight w:val="30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09064ED5">
            <w:pPr>
              <w:widowControl/>
              <w:jc w:val="left"/>
              <w:rPr>
                <w:rFonts w:ascii="宋体" w:hAnsi="宋体" w:cs="宋体"/>
                <w:color w:val="000000"/>
                <w:kern w:val="0"/>
                <w:sz w:val="24"/>
              </w:rPr>
            </w:pPr>
          </w:p>
        </w:tc>
        <w:tc>
          <w:tcPr>
            <w:tcW w:w="1261" w:type="dxa"/>
            <w:vMerge w:val="restart"/>
            <w:tcBorders>
              <w:top w:val="nil"/>
              <w:left w:val="single" w:color="auto" w:sz="4" w:space="0"/>
              <w:bottom w:val="single" w:color="auto" w:sz="4" w:space="0"/>
              <w:right w:val="single" w:color="auto" w:sz="4" w:space="0"/>
            </w:tcBorders>
            <w:shd w:val="clear" w:color="auto" w:fill="auto"/>
            <w:vAlign w:val="center"/>
          </w:tcPr>
          <w:p w14:paraId="520B082F">
            <w:pPr>
              <w:widowControl/>
              <w:jc w:val="center"/>
              <w:rPr>
                <w:rFonts w:ascii="宋体" w:hAnsi="宋体" w:cs="宋体"/>
                <w:color w:val="000000"/>
                <w:kern w:val="0"/>
                <w:sz w:val="24"/>
              </w:rPr>
            </w:pPr>
            <w:r>
              <w:rPr>
                <w:rFonts w:hint="eastAsia" w:ascii="宋体" w:hAnsi="宋体" w:cs="宋体"/>
                <w:color w:val="000000"/>
                <w:kern w:val="0"/>
                <w:sz w:val="24"/>
              </w:rPr>
              <w:t>优惠商户</w:t>
            </w:r>
          </w:p>
        </w:tc>
        <w:tc>
          <w:tcPr>
            <w:tcW w:w="1417" w:type="dxa"/>
            <w:tcBorders>
              <w:top w:val="nil"/>
              <w:left w:val="nil"/>
              <w:bottom w:val="single" w:color="auto" w:sz="4" w:space="0"/>
              <w:right w:val="single" w:color="auto" w:sz="4" w:space="0"/>
            </w:tcBorders>
            <w:shd w:val="clear" w:color="auto" w:fill="auto"/>
            <w:vAlign w:val="center"/>
          </w:tcPr>
          <w:p w14:paraId="0C45E5DE">
            <w:pPr>
              <w:widowControl/>
              <w:jc w:val="center"/>
              <w:rPr>
                <w:rFonts w:ascii="宋体" w:hAnsi="宋体" w:cs="宋体"/>
                <w:color w:val="000000"/>
                <w:kern w:val="0"/>
                <w:sz w:val="24"/>
              </w:rPr>
            </w:pPr>
            <w:r>
              <w:rPr>
                <w:rFonts w:hint="eastAsia" w:ascii="宋体" w:hAnsi="宋体" w:cs="宋体"/>
                <w:color w:val="000000"/>
                <w:kern w:val="0"/>
                <w:sz w:val="24"/>
              </w:rPr>
              <w:t>借记卡</w:t>
            </w:r>
          </w:p>
        </w:tc>
        <w:tc>
          <w:tcPr>
            <w:tcW w:w="2126" w:type="dxa"/>
            <w:tcBorders>
              <w:top w:val="nil"/>
              <w:left w:val="nil"/>
              <w:bottom w:val="single" w:color="auto" w:sz="4" w:space="0"/>
              <w:right w:val="single" w:color="auto" w:sz="4" w:space="0"/>
            </w:tcBorders>
            <w:shd w:val="clear" w:color="auto" w:fill="auto"/>
            <w:noWrap/>
            <w:vAlign w:val="center"/>
          </w:tcPr>
          <w:p w14:paraId="7090339D">
            <w:pPr>
              <w:widowControl/>
              <w:jc w:val="center"/>
              <w:rPr>
                <w:rFonts w:ascii="宋体" w:hAnsi="宋体" w:cs="宋体"/>
                <w:color w:val="000000"/>
                <w:kern w:val="0"/>
                <w:sz w:val="24"/>
              </w:rPr>
            </w:pPr>
          </w:p>
        </w:tc>
      </w:tr>
      <w:tr w14:paraId="058BD0BD">
        <w:tblPrEx>
          <w:tblCellMar>
            <w:top w:w="0" w:type="dxa"/>
            <w:left w:w="108" w:type="dxa"/>
            <w:bottom w:w="0" w:type="dxa"/>
            <w:right w:w="108" w:type="dxa"/>
          </w:tblCellMar>
        </w:tblPrEx>
        <w:trPr>
          <w:trHeight w:val="30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42C35FD7">
            <w:pPr>
              <w:widowControl/>
              <w:jc w:val="left"/>
              <w:rPr>
                <w:rFonts w:ascii="宋体" w:hAnsi="宋体" w:cs="宋体"/>
                <w:color w:val="000000"/>
                <w:kern w:val="0"/>
                <w:sz w:val="24"/>
              </w:rPr>
            </w:pPr>
          </w:p>
        </w:tc>
        <w:tc>
          <w:tcPr>
            <w:tcW w:w="1261" w:type="dxa"/>
            <w:vMerge w:val="continue"/>
            <w:tcBorders>
              <w:top w:val="nil"/>
              <w:left w:val="single" w:color="auto" w:sz="4" w:space="0"/>
              <w:bottom w:val="single" w:color="auto" w:sz="4" w:space="0"/>
              <w:right w:val="single" w:color="auto" w:sz="4" w:space="0"/>
            </w:tcBorders>
            <w:vAlign w:val="center"/>
          </w:tcPr>
          <w:p w14:paraId="5C40A55A">
            <w:pPr>
              <w:widowControl/>
              <w:jc w:val="left"/>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14:paraId="37145D44">
            <w:pPr>
              <w:widowControl/>
              <w:jc w:val="center"/>
              <w:rPr>
                <w:rFonts w:ascii="宋体" w:hAnsi="宋体" w:cs="宋体"/>
                <w:color w:val="000000"/>
                <w:kern w:val="0"/>
                <w:sz w:val="24"/>
              </w:rPr>
            </w:pPr>
            <w:r>
              <w:rPr>
                <w:rFonts w:hint="eastAsia" w:ascii="宋体" w:hAnsi="宋体" w:cs="宋体"/>
                <w:color w:val="000000"/>
                <w:kern w:val="0"/>
                <w:sz w:val="24"/>
              </w:rPr>
              <w:t>贷记卡</w:t>
            </w:r>
          </w:p>
        </w:tc>
        <w:tc>
          <w:tcPr>
            <w:tcW w:w="2126" w:type="dxa"/>
            <w:tcBorders>
              <w:top w:val="nil"/>
              <w:left w:val="nil"/>
              <w:bottom w:val="single" w:color="auto" w:sz="4" w:space="0"/>
              <w:right w:val="single" w:color="auto" w:sz="4" w:space="0"/>
            </w:tcBorders>
            <w:shd w:val="clear" w:color="auto" w:fill="auto"/>
            <w:noWrap/>
            <w:vAlign w:val="center"/>
          </w:tcPr>
          <w:p w14:paraId="234ABEF0">
            <w:pPr>
              <w:widowControl/>
              <w:jc w:val="center"/>
              <w:rPr>
                <w:rFonts w:ascii="宋体" w:hAnsi="宋体" w:cs="宋体"/>
                <w:color w:val="000000"/>
                <w:kern w:val="0"/>
                <w:sz w:val="24"/>
              </w:rPr>
            </w:pPr>
          </w:p>
        </w:tc>
      </w:tr>
      <w:tr w14:paraId="5DEF3658">
        <w:tblPrEx>
          <w:tblCellMar>
            <w:top w:w="0" w:type="dxa"/>
            <w:left w:w="108" w:type="dxa"/>
            <w:bottom w:w="0" w:type="dxa"/>
            <w:right w:w="108" w:type="dxa"/>
          </w:tblCellMar>
        </w:tblPrEx>
        <w:trPr>
          <w:trHeight w:val="30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5FD38414">
            <w:pPr>
              <w:widowControl/>
              <w:jc w:val="left"/>
              <w:rPr>
                <w:rFonts w:ascii="宋体" w:hAnsi="宋体" w:cs="宋体"/>
                <w:color w:val="000000"/>
                <w:kern w:val="0"/>
                <w:sz w:val="24"/>
              </w:rPr>
            </w:pPr>
          </w:p>
        </w:tc>
        <w:tc>
          <w:tcPr>
            <w:tcW w:w="1261" w:type="dxa"/>
            <w:vMerge w:val="continue"/>
            <w:tcBorders>
              <w:top w:val="nil"/>
              <w:left w:val="single" w:color="auto" w:sz="4" w:space="0"/>
              <w:bottom w:val="single" w:color="auto" w:sz="4" w:space="0"/>
              <w:right w:val="single" w:color="auto" w:sz="4" w:space="0"/>
            </w:tcBorders>
            <w:vAlign w:val="center"/>
          </w:tcPr>
          <w:p w14:paraId="507ECD8E">
            <w:pPr>
              <w:widowControl/>
              <w:jc w:val="left"/>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14:paraId="2BA095B5">
            <w:pPr>
              <w:widowControl/>
              <w:jc w:val="center"/>
              <w:rPr>
                <w:rFonts w:ascii="宋体" w:hAnsi="宋体" w:cs="宋体"/>
                <w:color w:val="000000"/>
                <w:kern w:val="0"/>
                <w:sz w:val="24"/>
              </w:rPr>
            </w:pPr>
            <w:r>
              <w:rPr>
                <w:rFonts w:hint="eastAsia" w:ascii="宋体" w:hAnsi="宋体" w:cs="宋体"/>
                <w:color w:val="000000"/>
                <w:kern w:val="0"/>
                <w:sz w:val="24"/>
              </w:rPr>
              <w:t>外卡</w:t>
            </w:r>
          </w:p>
        </w:tc>
        <w:tc>
          <w:tcPr>
            <w:tcW w:w="2126" w:type="dxa"/>
            <w:tcBorders>
              <w:top w:val="nil"/>
              <w:left w:val="nil"/>
              <w:bottom w:val="single" w:color="auto" w:sz="4" w:space="0"/>
              <w:right w:val="single" w:color="auto" w:sz="4" w:space="0"/>
            </w:tcBorders>
            <w:shd w:val="clear" w:color="auto" w:fill="auto"/>
            <w:noWrap/>
            <w:vAlign w:val="center"/>
          </w:tcPr>
          <w:p w14:paraId="4A9C016B">
            <w:pPr>
              <w:widowControl/>
              <w:jc w:val="center"/>
              <w:rPr>
                <w:rFonts w:ascii="宋体" w:hAnsi="宋体" w:cs="宋体"/>
                <w:color w:val="000000"/>
                <w:kern w:val="0"/>
                <w:sz w:val="24"/>
              </w:rPr>
            </w:pPr>
          </w:p>
        </w:tc>
      </w:tr>
      <w:tr w14:paraId="306BCD10">
        <w:tblPrEx>
          <w:tblCellMar>
            <w:top w:w="0" w:type="dxa"/>
            <w:left w:w="108" w:type="dxa"/>
            <w:bottom w:w="0" w:type="dxa"/>
            <w:right w:w="108" w:type="dxa"/>
          </w:tblCellMar>
        </w:tblPrEx>
        <w:trPr>
          <w:trHeight w:val="30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3D04AAF5">
            <w:pPr>
              <w:widowControl/>
              <w:jc w:val="left"/>
              <w:rPr>
                <w:rFonts w:ascii="宋体" w:hAnsi="宋体" w:cs="宋体"/>
                <w:color w:val="000000"/>
                <w:kern w:val="0"/>
                <w:sz w:val="24"/>
              </w:rPr>
            </w:pPr>
          </w:p>
        </w:tc>
        <w:tc>
          <w:tcPr>
            <w:tcW w:w="1261" w:type="dxa"/>
            <w:vMerge w:val="restart"/>
            <w:tcBorders>
              <w:top w:val="nil"/>
              <w:left w:val="single" w:color="auto" w:sz="4" w:space="0"/>
              <w:bottom w:val="single" w:color="auto" w:sz="4" w:space="0"/>
              <w:right w:val="single" w:color="auto" w:sz="4" w:space="0"/>
            </w:tcBorders>
            <w:shd w:val="clear" w:color="auto" w:fill="auto"/>
            <w:vAlign w:val="center"/>
          </w:tcPr>
          <w:p w14:paraId="771F3C70">
            <w:pPr>
              <w:widowControl/>
              <w:jc w:val="center"/>
              <w:rPr>
                <w:rFonts w:ascii="宋体" w:hAnsi="宋体" w:cs="宋体"/>
                <w:color w:val="000000"/>
                <w:kern w:val="0"/>
                <w:sz w:val="24"/>
              </w:rPr>
            </w:pPr>
            <w:r>
              <w:rPr>
                <w:rFonts w:hint="eastAsia" w:ascii="宋体" w:hAnsi="宋体" w:cs="宋体"/>
                <w:color w:val="000000"/>
                <w:kern w:val="0"/>
                <w:sz w:val="24"/>
              </w:rPr>
              <w:t>减免商户</w:t>
            </w:r>
          </w:p>
        </w:tc>
        <w:tc>
          <w:tcPr>
            <w:tcW w:w="1417" w:type="dxa"/>
            <w:tcBorders>
              <w:top w:val="nil"/>
              <w:left w:val="nil"/>
              <w:bottom w:val="single" w:color="auto" w:sz="4" w:space="0"/>
              <w:right w:val="single" w:color="auto" w:sz="4" w:space="0"/>
            </w:tcBorders>
            <w:shd w:val="clear" w:color="auto" w:fill="auto"/>
            <w:vAlign w:val="center"/>
          </w:tcPr>
          <w:p w14:paraId="045E80D0">
            <w:pPr>
              <w:widowControl/>
              <w:jc w:val="center"/>
              <w:rPr>
                <w:rFonts w:ascii="宋体" w:hAnsi="宋体" w:cs="宋体"/>
                <w:color w:val="000000"/>
                <w:kern w:val="0"/>
                <w:sz w:val="24"/>
              </w:rPr>
            </w:pPr>
            <w:r>
              <w:rPr>
                <w:rFonts w:hint="eastAsia" w:ascii="宋体" w:hAnsi="宋体" w:cs="宋体"/>
                <w:color w:val="000000"/>
                <w:kern w:val="0"/>
                <w:sz w:val="24"/>
              </w:rPr>
              <w:t>借记卡</w:t>
            </w:r>
          </w:p>
        </w:tc>
        <w:tc>
          <w:tcPr>
            <w:tcW w:w="2126" w:type="dxa"/>
            <w:tcBorders>
              <w:top w:val="nil"/>
              <w:left w:val="nil"/>
              <w:bottom w:val="single" w:color="auto" w:sz="4" w:space="0"/>
              <w:right w:val="single" w:color="auto" w:sz="4" w:space="0"/>
            </w:tcBorders>
            <w:shd w:val="clear" w:color="auto" w:fill="auto"/>
            <w:noWrap/>
            <w:vAlign w:val="center"/>
          </w:tcPr>
          <w:p w14:paraId="3880633C">
            <w:pPr>
              <w:widowControl/>
              <w:jc w:val="center"/>
              <w:rPr>
                <w:rFonts w:ascii="宋体" w:hAnsi="宋体" w:cs="宋体"/>
                <w:color w:val="000000"/>
                <w:kern w:val="0"/>
                <w:sz w:val="24"/>
              </w:rPr>
            </w:pPr>
          </w:p>
        </w:tc>
      </w:tr>
      <w:tr w14:paraId="425078DF">
        <w:tblPrEx>
          <w:tblCellMar>
            <w:top w:w="0" w:type="dxa"/>
            <w:left w:w="108" w:type="dxa"/>
            <w:bottom w:w="0" w:type="dxa"/>
            <w:right w:w="108" w:type="dxa"/>
          </w:tblCellMar>
        </w:tblPrEx>
        <w:trPr>
          <w:trHeight w:val="30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32A6B79B">
            <w:pPr>
              <w:widowControl/>
              <w:jc w:val="left"/>
              <w:rPr>
                <w:rFonts w:ascii="宋体" w:hAnsi="宋体" w:cs="宋体"/>
                <w:color w:val="000000"/>
                <w:kern w:val="0"/>
                <w:sz w:val="24"/>
              </w:rPr>
            </w:pPr>
          </w:p>
        </w:tc>
        <w:tc>
          <w:tcPr>
            <w:tcW w:w="1261" w:type="dxa"/>
            <w:vMerge w:val="continue"/>
            <w:tcBorders>
              <w:top w:val="nil"/>
              <w:left w:val="single" w:color="auto" w:sz="4" w:space="0"/>
              <w:bottom w:val="single" w:color="auto" w:sz="4" w:space="0"/>
              <w:right w:val="single" w:color="auto" w:sz="4" w:space="0"/>
            </w:tcBorders>
            <w:vAlign w:val="center"/>
          </w:tcPr>
          <w:p w14:paraId="40DE7227">
            <w:pPr>
              <w:widowControl/>
              <w:jc w:val="left"/>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14:paraId="30CE0887">
            <w:pPr>
              <w:widowControl/>
              <w:jc w:val="center"/>
              <w:rPr>
                <w:rFonts w:ascii="宋体" w:hAnsi="宋体" w:cs="宋体"/>
                <w:color w:val="000000"/>
                <w:kern w:val="0"/>
                <w:sz w:val="24"/>
              </w:rPr>
            </w:pPr>
            <w:r>
              <w:rPr>
                <w:rFonts w:hint="eastAsia" w:ascii="宋体" w:hAnsi="宋体" w:cs="宋体"/>
                <w:color w:val="000000"/>
                <w:kern w:val="0"/>
                <w:sz w:val="24"/>
              </w:rPr>
              <w:t>贷记卡</w:t>
            </w:r>
          </w:p>
        </w:tc>
        <w:tc>
          <w:tcPr>
            <w:tcW w:w="2126" w:type="dxa"/>
            <w:tcBorders>
              <w:top w:val="nil"/>
              <w:left w:val="nil"/>
              <w:bottom w:val="single" w:color="auto" w:sz="4" w:space="0"/>
              <w:right w:val="single" w:color="auto" w:sz="4" w:space="0"/>
            </w:tcBorders>
            <w:shd w:val="clear" w:color="auto" w:fill="auto"/>
            <w:noWrap/>
            <w:vAlign w:val="center"/>
          </w:tcPr>
          <w:p w14:paraId="6B29EC05">
            <w:pPr>
              <w:widowControl/>
              <w:jc w:val="center"/>
              <w:rPr>
                <w:rFonts w:ascii="宋体" w:hAnsi="宋体" w:cs="宋体"/>
                <w:color w:val="000000"/>
                <w:kern w:val="0"/>
                <w:sz w:val="24"/>
              </w:rPr>
            </w:pPr>
          </w:p>
        </w:tc>
      </w:tr>
      <w:tr w14:paraId="13324EEF">
        <w:tblPrEx>
          <w:tblCellMar>
            <w:top w:w="0" w:type="dxa"/>
            <w:left w:w="108" w:type="dxa"/>
            <w:bottom w:w="0" w:type="dxa"/>
            <w:right w:w="108" w:type="dxa"/>
          </w:tblCellMar>
        </w:tblPrEx>
        <w:trPr>
          <w:trHeight w:val="30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2439E2FF">
            <w:pPr>
              <w:widowControl/>
              <w:jc w:val="left"/>
              <w:rPr>
                <w:rFonts w:ascii="宋体" w:hAnsi="宋体" w:cs="宋体"/>
                <w:color w:val="000000"/>
                <w:kern w:val="0"/>
                <w:sz w:val="24"/>
              </w:rPr>
            </w:pPr>
          </w:p>
        </w:tc>
        <w:tc>
          <w:tcPr>
            <w:tcW w:w="1261" w:type="dxa"/>
            <w:vMerge w:val="continue"/>
            <w:tcBorders>
              <w:top w:val="nil"/>
              <w:left w:val="single" w:color="auto" w:sz="4" w:space="0"/>
              <w:bottom w:val="single" w:color="auto" w:sz="4" w:space="0"/>
              <w:right w:val="single" w:color="auto" w:sz="4" w:space="0"/>
            </w:tcBorders>
            <w:vAlign w:val="center"/>
          </w:tcPr>
          <w:p w14:paraId="5BC61E43">
            <w:pPr>
              <w:widowControl/>
              <w:jc w:val="left"/>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14:paraId="5A83D112">
            <w:pPr>
              <w:widowControl/>
              <w:jc w:val="center"/>
              <w:rPr>
                <w:rFonts w:ascii="宋体" w:hAnsi="宋体" w:cs="宋体"/>
                <w:color w:val="000000"/>
                <w:kern w:val="0"/>
                <w:sz w:val="24"/>
              </w:rPr>
            </w:pPr>
            <w:r>
              <w:rPr>
                <w:rFonts w:hint="eastAsia" w:ascii="宋体" w:hAnsi="宋体" w:cs="宋体"/>
                <w:color w:val="000000"/>
                <w:kern w:val="0"/>
                <w:sz w:val="24"/>
              </w:rPr>
              <w:t>外卡</w:t>
            </w:r>
          </w:p>
        </w:tc>
        <w:tc>
          <w:tcPr>
            <w:tcW w:w="2126" w:type="dxa"/>
            <w:tcBorders>
              <w:top w:val="nil"/>
              <w:left w:val="nil"/>
              <w:bottom w:val="single" w:color="auto" w:sz="4" w:space="0"/>
              <w:right w:val="single" w:color="auto" w:sz="4" w:space="0"/>
            </w:tcBorders>
            <w:shd w:val="clear" w:color="auto" w:fill="auto"/>
            <w:noWrap/>
            <w:vAlign w:val="center"/>
          </w:tcPr>
          <w:p w14:paraId="0DF88C7D">
            <w:pPr>
              <w:widowControl/>
              <w:jc w:val="center"/>
              <w:rPr>
                <w:rFonts w:ascii="宋体" w:hAnsi="宋体" w:cs="宋体"/>
                <w:color w:val="000000"/>
                <w:kern w:val="0"/>
                <w:sz w:val="24"/>
              </w:rPr>
            </w:pPr>
          </w:p>
        </w:tc>
      </w:tr>
      <w:tr w14:paraId="045234F4">
        <w:tblPrEx>
          <w:tblCellMar>
            <w:top w:w="0" w:type="dxa"/>
            <w:left w:w="108" w:type="dxa"/>
            <w:bottom w:w="0" w:type="dxa"/>
            <w:right w:w="108" w:type="dxa"/>
          </w:tblCellMar>
        </w:tblPrEx>
        <w:trPr>
          <w:trHeight w:val="300" w:hRule="atLeas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14:paraId="0C0AF128">
            <w:pPr>
              <w:widowControl/>
              <w:jc w:val="center"/>
              <w:rPr>
                <w:rFonts w:ascii="宋体" w:hAnsi="宋体" w:cs="宋体"/>
                <w:color w:val="000000"/>
                <w:kern w:val="0"/>
                <w:sz w:val="24"/>
              </w:rPr>
            </w:pPr>
            <w:r>
              <w:rPr>
                <w:rFonts w:hint="eastAsia" w:ascii="宋体" w:hAnsi="宋体" w:cs="宋体"/>
                <w:color w:val="000000"/>
                <w:kern w:val="0"/>
                <w:sz w:val="24"/>
              </w:rPr>
              <w:t>支付宝</w:t>
            </w:r>
          </w:p>
        </w:tc>
        <w:tc>
          <w:tcPr>
            <w:tcW w:w="2678" w:type="dxa"/>
            <w:gridSpan w:val="2"/>
            <w:tcBorders>
              <w:top w:val="single" w:color="auto" w:sz="4" w:space="0"/>
              <w:left w:val="nil"/>
              <w:bottom w:val="single" w:color="auto" w:sz="4" w:space="0"/>
              <w:right w:val="single" w:color="auto" w:sz="4" w:space="0"/>
            </w:tcBorders>
            <w:shd w:val="clear" w:color="auto" w:fill="auto"/>
          </w:tcPr>
          <w:p w14:paraId="1AD24634">
            <w:pPr>
              <w:widowControl/>
              <w:jc w:val="center"/>
              <w:rPr>
                <w:rFonts w:ascii="宋体" w:hAnsi="宋体" w:cs="宋体"/>
                <w:color w:val="000000"/>
                <w:kern w:val="0"/>
                <w:sz w:val="24"/>
              </w:rPr>
            </w:pPr>
            <w:r>
              <w:rPr>
                <w:rFonts w:hint="eastAsia" w:ascii="宋体" w:hAnsi="宋体" w:cs="宋体"/>
                <w:color w:val="000000"/>
                <w:kern w:val="0"/>
                <w:sz w:val="24"/>
              </w:rPr>
              <w:t>支付宝</w:t>
            </w:r>
          </w:p>
        </w:tc>
        <w:tc>
          <w:tcPr>
            <w:tcW w:w="2126" w:type="dxa"/>
            <w:tcBorders>
              <w:top w:val="nil"/>
              <w:left w:val="nil"/>
              <w:bottom w:val="single" w:color="auto" w:sz="4" w:space="0"/>
              <w:right w:val="single" w:color="auto" w:sz="4" w:space="0"/>
            </w:tcBorders>
            <w:shd w:val="clear" w:color="auto" w:fill="auto"/>
          </w:tcPr>
          <w:p w14:paraId="0FDBF4FD">
            <w:pPr>
              <w:widowControl/>
              <w:jc w:val="center"/>
              <w:rPr>
                <w:rFonts w:ascii="宋体" w:hAnsi="宋体" w:cs="宋体"/>
                <w:color w:val="000000"/>
                <w:kern w:val="0"/>
                <w:sz w:val="24"/>
              </w:rPr>
            </w:pPr>
          </w:p>
        </w:tc>
      </w:tr>
      <w:tr w14:paraId="195EDE45">
        <w:tblPrEx>
          <w:tblCellMar>
            <w:top w:w="0" w:type="dxa"/>
            <w:left w:w="108" w:type="dxa"/>
            <w:bottom w:w="0" w:type="dxa"/>
            <w:right w:w="108" w:type="dxa"/>
          </w:tblCellMar>
        </w:tblPrEx>
        <w:trPr>
          <w:trHeight w:val="300" w:hRule="atLeast"/>
          <w:jc w:val="center"/>
        </w:trPr>
        <w:tc>
          <w:tcPr>
            <w:tcW w:w="2000" w:type="dxa"/>
            <w:vMerge w:val="restart"/>
            <w:tcBorders>
              <w:top w:val="nil"/>
              <w:left w:val="single" w:color="auto" w:sz="4" w:space="0"/>
              <w:bottom w:val="single" w:color="auto" w:sz="4" w:space="0"/>
              <w:right w:val="single" w:color="auto" w:sz="4" w:space="0"/>
            </w:tcBorders>
            <w:shd w:val="clear" w:color="auto" w:fill="auto"/>
            <w:vAlign w:val="center"/>
          </w:tcPr>
          <w:p w14:paraId="60C61A1A">
            <w:pPr>
              <w:widowControl/>
              <w:jc w:val="center"/>
              <w:rPr>
                <w:rFonts w:ascii="宋体" w:hAnsi="宋体" w:cs="宋体"/>
                <w:color w:val="000000"/>
                <w:kern w:val="0"/>
                <w:sz w:val="24"/>
              </w:rPr>
            </w:pPr>
            <w:r>
              <w:rPr>
                <w:rFonts w:hint="eastAsia" w:ascii="宋体" w:hAnsi="宋体" w:cs="宋体"/>
                <w:color w:val="000000"/>
                <w:kern w:val="0"/>
                <w:sz w:val="24"/>
              </w:rPr>
              <w:t>微信</w:t>
            </w:r>
          </w:p>
        </w:tc>
        <w:tc>
          <w:tcPr>
            <w:tcW w:w="2678" w:type="dxa"/>
            <w:gridSpan w:val="2"/>
            <w:tcBorders>
              <w:top w:val="single" w:color="auto" w:sz="4" w:space="0"/>
              <w:left w:val="nil"/>
              <w:bottom w:val="single" w:color="auto" w:sz="4" w:space="0"/>
              <w:right w:val="single" w:color="auto" w:sz="4" w:space="0"/>
            </w:tcBorders>
            <w:shd w:val="clear" w:color="auto" w:fill="auto"/>
            <w:noWrap/>
            <w:vAlign w:val="center"/>
          </w:tcPr>
          <w:p w14:paraId="2AE450C1">
            <w:pPr>
              <w:widowControl/>
              <w:ind w:firstLine="440"/>
              <w:jc w:val="center"/>
              <w:rPr>
                <w:rFonts w:ascii="宋体" w:hAnsi="宋体" w:cs="宋体"/>
                <w:color w:val="000000"/>
                <w:kern w:val="0"/>
                <w:sz w:val="22"/>
                <w:szCs w:val="22"/>
              </w:rPr>
            </w:pPr>
            <w:r>
              <w:rPr>
                <w:rFonts w:hint="eastAsia" w:ascii="宋体" w:hAnsi="宋体" w:cs="宋体"/>
                <w:color w:val="000000"/>
                <w:kern w:val="0"/>
                <w:sz w:val="22"/>
                <w:szCs w:val="22"/>
              </w:rPr>
              <w:t>微信-线下</w:t>
            </w:r>
          </w:p>
        </w:tc>
        <w:tc>
          <w:tcPr>
            <w:tcW w:w="2126" w:type="dxa"/>
            <w:tcBorders>
              <w:top w:val="nil"/>
              <w:left w:val="nil"/>
              <w:bottom w:val="single" w:color="auto" w:sz="4" w:space="0"/>
              <w:right w:val="single" w:color="auto" w:sz="4" w:space="0"/>
            </w:tcBorders>
            <w:shd w:val="clear" w:color="auto" w:fill="auto"/>
          </w:tcPr>
          <w:p w14:paraId="13FAD8E1">
            <w:pPr>
              <w:widowControl/>
              <w:jc w:val="center"/>
              <w:rPr>
                <w:rFonts w:ascii="宋体" w:hAnsi="宋体" w:cs="宋体"/>
                <w:color w:val="000000"/>
                <w:kern w:val="0"/>
                <w:sz w:val="24"/>
              </w:rPr>
            </w:pPr>
          </w:p>
        </w:tc>
      </w:tr>
      <w:tr w14:paraId="791F6965">
        <w:tblPrEx>
          <w:tblCellMar>
            <w:top w:w="0" w:type="dxa"/>
            <w:left w:w="108" w:type="dxa"/>
            <w:bottom w:w="0" w:type="dxa"/>
            <w:right w:w="108" w:type="dxa"/>
          </w:tblCellMar>
        </w:tblPrEx>
        <w:trPr>
          <w:trHeight w:val="30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6781CF30">
            <w:pPr>
              <w:widowControl/>
              <w:jc w:val="left"/>
              <w:rPr>
                <w:rFonts w:ascii="宋体" w:hAnsi="宋体" w:cs="宋体"/>
                <w:color w:val="000000"/>
                <w:kern w:val="0"/>
                <w:sz w:val="24"/>
              </w:rPr>
            </w:pPr>
          </w:p>
        </w:tc>
        <w:tc>
          <w:tcPr>
            <w:tcW w:w="2678" w:type="dxa"/>
            <w:gridSpan w:val="2"/>
            <w:tcBorders>
              <w:top w:val="single" w:color="auto" w:sz="4" w:space="0"/>
              <w:left w:val="nil"/>
              <w:bottom w:val="single" w:color="auto" w:sz="4" w:space="0"/>
              <w:right w:val="single" w:color="auto" w:sz="4" w:space="0"/>
            </w:tcBorders>
            <w:shd w:val="clear" w:color="auto" w:fill="auto"/>
            <w:noWrap/>
            <w:vAlign w:val="center"/>
          </w:tcPr>
          <w:p w14:paraId="79F64145">
            <w:pPr>
              <w:widowControl/>
              <w:ind w:firstLine="440"/>
              <w:jc w:val="center"/>
              <w:rPr>
                <w:rFonts w:ascii="宋体" w:hAnsi="宋体" w:cs="宋体"/>
                <w:color w:val="000000"/>
                <w:kern w:val="0"/>
                <w:sz w:val="22"/>
                <w:szCs w:val="22"/>
              </w:rPr>
            </w:pPr>
            <w:r>
              <w:rPr>
                <w:rFonts w:hint="eastAsia" w:ascii="宋体" w:hAnsi="宋体" w:cs="宋体"/>
                <w:color w:val="000000"/>
                <w:kern w:val="0"/>
                <w:sz w:val="22"/>
                <w:szCs w:val="22"/>
              </w:rPr>
              <w:t>微信-线上</w:t>
            </w:r>
          </w:p>
        </w:tc>
        <w:tc>
          <w:tcPr>
            <w:tcW w:w="2126" w:type="dxa"/>
            <w:tcBorders>
              <w:top w:val="nil"/>
              <w:left w:val="nil"/>
              <w:bottom w:val="single" w:color="auto" w:sz="4" w:space="0"/>
              <w:right w:val="single" w:color="auto" w:sz="4" w:space="0"/>
            </w:tcBorders>
            <w:shd w:val="clear" w:color="auto" w:fill="auto"/>
            <w:noWrap/>
            <w:vAlign w:val="center"/>
          </w:tcPr>
          <w:p w14:paraId="7732F64A">
            <w:pPr>
              <w:widowControl/>
              <w:jc w:val="center"/>
              <w:rPr>
                <w:rFonts w:ascii="宋体" w:hAnsi="宋体" w:cs="宋体"/>
                <w:color w:val="000000"/>
                <w:kern w:val="0"/>
                <w:sz w:val="24"/>
              </w:rPr>
            </w:pPr>
          </w:p>
        </w:tc>
      </w:tr>
      <w:tr w14:paraId="506E3C30">
        <w:tblPrEx>
          <w:tblCellMar>
            <w:top w:w="0" w:type="dxa"/>
            <w:left w:w="108" w:type="dxa"/>
            <w:bottom w:w="0" w:type="dxa"/>
            <w:right w:w="108" w:type="dxa"/>
          </w:tblCellMar>
        </w:tblPrEx>
        <w:trPr>
          <w:trHeight w:val="30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451B32EA">
            <w:pPr>
              <w:widowControl/>
              <w:jc w:val="left"/>
              <w:rPr>
                <w:rFonts w:ascii="宋体" w:hAnsi="宋体" w:cs="宋体"/>
                <w:color w:val="000000"/>
                <w:kern w:val="0"/>
                <w:sz w:val="24"/>
              </w:rPr>
            </w:pPr>
          </w:p>
        </w:tc>
        <w:tc>
          <w:tcPr>
            <w:tcW w:w="2678" w:type="dxa"/>
            <w:gridSpan w:val="2"/>
            <w:tcBorders>
              <w:top w:val="single" w:color="auto" w:sz="4" w:space="0"/>
              <w:left w:val="nil"/>
              <w:bottom w:val="single" w:color="auto" w:sz="4" w:space="0"/>
              <w:right w:val="single" w:color="auto" w:sz="4" w:space="0"/>
            </w:tcBorders>
            <w:shd w:val="clear" w:color="auto" w:fill="auto"/>
            <w:noWrap/>
            <w:vAlign w:val="center"/>
          </w:tcPr>
          <w:p w14:paraId="3F7D1226">
            <w:pPr>
              <w:widowControl/>
              <w:ind w:firstLine="440"/>
              <w:jc w:val="center"/>
              <w:rPr>
                <w:rFonts w:ascii="宋体" w:hAnsi="宋体" w:cs="宋体"/>
                <w:color w:val="000000"/>
                <w:kern w:val="0"/>
                <w:sz w:val="22"/>
                <w:szCs w:val="22"/>
              </w:rPr>
            </w:pPr>
            <w:r>
              <w:rPr>
                <w:rFonts w:hint="eastAsia" w:ascii="宋体" w:hAnsi="宋体" w:cs="宋体"/>
                <w:color w:val="000000"/>
                <w:kern w:val="0"/>
                <w:sz w:val="22"/>
                <w:szCs w:val="22"/>
              </w:rPr>
              <w:t>微信-保险教育</w:t>
            </w:r>
          </w:p>
        </w:tc>
        <w:tc>
          <w:tcPr>
            <w:tcW w:w="2126" w:type="dxa"/>
            <w:tcBorders>
              <w:top w:val="nil"/>
              <w:left w:val="nil"/>
              <w:bottom w:val="single" w:color="auto" w:sz="4" w:space="0"/>
              <w:right w:val="single" w:color="auto" w:sz="4" w:space="0"/>
            </w:tcBorders>
            <w:shd w:val="clear" w:color="auto" w:fill="auto"/>
            <w:noWrap/>
            <w:vAlign w:val="center"/>
          </w:tcPr>
          <w:p w14:paraId="3C2E1F29">
            <w:pPr>
              <w:widowControl/>
              <w:jc w:val="center"/>
              <w:rPr>
                <w:rFonts w:ascii="宋体" w:hAnsi="宋体" w:cs="宋体"/>
                <w:color w:val="000000"/>
                <w:kern w:val="0"/>
                <w:sz w:val="24"/>
              </w:rPr>
            </w:pPr>
          </w:p>
        </w:tc>
      </w:tr>
      <w:tr w14:paraId="71CC5BE0">
        <w:tblPrEx>
          <w:tblCellMar>
            <w:top w:w="0" w:type="dxa"/>
            <w:left w:w="108" w:type="dxa"/>
            <w:bottom w:w="0" w:type="dxa"/>
            <w:right w:w="108" w:type="dxa"/>
          </w:tblCellMar>
        </w:tblPrEx>
        <w:trPr>
          <w:trHeight w:val="30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3007E48A">
            <w:pPr>
              <w:widowControl/>
              <w:jc w:val="left"/>
              <w:rPr>
                <w:rFonts w:ascii="宋体" w:hAnsi="宋体" w:cs="宋体"/>
                <w:color w:val="000000"/>
                <w:kern w:val="0"/>
                <w:sz w:val="24"/>
              </w:rPr>
            </w:pPr>
          </w:p>
        </w:tc>
        <w:tc>
          <w:tcPr>
            <w:tcW w:w="2678" w:type="dxa"/>
            <w:gridSpan w:val="2"/>
            <w:tcBorders>
              <w:top w:val="single" w:color="auto" w:sz="4" w:space="0"/>
              <w:left w:val="nil"/>
              <w:bottom w:val="single" w:color="auto" w:sz="4" w:space="0"/>
              <w:right w:val="single" w:color="auto" w:sz="4" w:space="0"/>
            </w:tcBorders>
            <w:shd w:val="clear" w:color="auto" w:fill="auto"/>
            <w:noWrap/>
            <w:vAlign w:val="center"/>
          </w:tcPr>
          <w:p w14:paraId="39D75993">
            <w:pPr>
              <w:widowControl/>
              <w:ind w:firstLine="440"/>
              <w:jc w:val="center"/>
              <w:rPr>
                <w:rFonts w:ascii="宋体" w:hAnsi="宋体" w:cs="宋体"/>
                <w:color w:val="000000"/>
                <w:kern w:val="0"/>
                <w:sz w:val="22"/>
                <w:szCs w:val="22"/>
              </w:rPr>
            </w:pPr>
            <w:r>
              <w:rPr>
                <w:rFonts w:hint="eastAsia" w:ascii="宋体" w:hAnsi="宋体" w:cs="宋体"/>
                <w:color w:val="000000"/>
                <w:kern w:val="0"/>
                <w:sz w:val="22"/>
                <w:szCs w:val="22"/>
              </w:rPr>
              <w:t>微信-私立院校</w:t>
            </w:r>
          </w:p>
        </w:tc>
        <w:tc>
          <w:tcPr>
            <w:tcW w:w="2126" w:type="dxa"/>
            <w:tcBorders>
              <w:top w:val="nil"/>
              <w:left w:val="nil"/>
              <w:bottom w:val="single" w:color="auto" w:sz="4" w:space="0"/>
              <w:right w:val="single" w:color="auto" w:sz="4" w:space="0"/>
            </w:tcBorders>
            <w:shd w:val="clear" w:color="auto" w:fill="auto"/>
            <w:noWrap/>
            <w:vAlign w:val="center"/>
          </w:tcPr>
          <w:p w14:paraId="15943545">
            <w:pPr>
              <w:widowControl/>
              <w:jc w:val="center"/>
              <w:rPr>
                <w:rFonts w:ascii="宋体" w:hAnsi="宋体" w:cs="宋体"/>
                <w:color w:val="000000"/>
                <w:kern w:val="0"/>
                <w:sz w:val="24"/>
              </w:rPr>
            </w:pPr>
          </w:p>
        </w:tc>
      </w:tr>
      <w:tr w14:paraId="1E5A4EC6">
        <w:tblPrEx>
          <w:tblCellMar>
            <w:top w:w="0" w:type="dxa"/>
            <w:left w:w="108" w:type="dxa"/>
            <w:bottom w:w="0" w:type="dxa"/>
            <w:right w:w="108" w:type="dxa"/>
          </w:tblCellMar>
        </w:tblPrEx>
        <w:trPr>
          <w:trHeight w:val="30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47ED88FA">
            <w:pPr>
              <w:widowControl/>
              <w:jc w:val="left"/>
              <w:rPr>
                <w:rFonts w:ascii="宋体" w:hAnsi="宋体" w:cs="宋体"/>
                <w:color w:val="000000"/>
                <w:kern w:val="0"/>
                <w:sz w:val="24"/>
              </w:rPr>
            </w:pPr>
          </w:p>
        </w:tc>
        <w:tc>
          <w:tcPr>
            <w:tcW w:w="2678" w:type="dxa"/>
            <w:gridSpan w:val="2"/>
            <w:tcBorders>
              <w:top w:val="single" w:color="auto" w:sz="4" w:space="0"/>
              <w:left w:val="nil"/>
              <w:bottom w:val="single" w:color="auto" w:sz="4" w:space="0"/>
              <w:right w:val="single" w:color="auto" w:sz="4" w:space="0"/>
            </w:tcBorders>
            <w:shd w:val="clear" w:color="auto" w:fill="auto"/>
            <w:noWrap/>
            <w:vAlign w:val="center"/>
          </w:tcPr>
          <w:p w14:paraId="7EACA82C">
            <w:pPr>
              <w:widowControl/>
              <w:ind w:firstLine="440"/>
              <w:jc w:val="center"/>
              <w:rPr>
                <w:rFonts w:ascii="宋体" w:hAnsi="宋体" w:cs="宋体"/>
                <w:color w:val="000000"/>
                <w:kern w:val="0"/>
                <w:sz w:val="22"/>
                <w:szCs w:val="22"/>
              </w:rPr>
            </w:pPr>
            <w:r>
              <w:rPr>
                <w:rFonts w:hint="eastAsia" w:ascii="宋体" w:hAnsi="宋体" w:cs="宋体"/>
                <w:color w:val="000000"/>
                <w:kern w:val="0"/>
                <w:sz w:val="22"/>
                <w:szCs w:val="22"/>
              </w:rPr>
              <w:t>微信-缴费类</w:t>
            </w:r>
          </w:p>
        </w:tc>
        <w:tc>
          <w:tcPr>
            <w:tcW w:w="2126" w:type="dxa"/>
            <w:tcBorders>
              <w:top w:val="nil"/>
              <w:left w:val="nil"/>
              <w:bottom w:val="single" w:color="auto" w:sz="4" w:space="0"/>
              <w:right w:val="single" w:color="auto" w:sz="4" w:space="0"/>
            </w:tcBorders>
            <w:shd w:val="clear" w:color="auto" w:fill="auto"/>
            <w:noWrap/>
            <w:vAlign w:val="center"/>
          </w:tcPr>
          <w:p w14:paraId="40BC9985">
            <w:pPr>
              <w:widowControl/>
              <w:jc w:val="center"/>
              <w:rPr>
                <w:rFonts w:ascii="宋体" w:hAnsi="宋体" w:cs="宋体"/>
                <w:color w:val="000000"/>
                <w:kern w:val="0"/>
                <w:sz w:val="24"/>
              </w:rPr>
            </w:pPr>
          </w:p>
        </w:tc>
      </w:tr>
      <w:tr w14:paraId="43F3ED82">
        <w:tblPrEx>
          <w:tblCellMar>
            <w:top w:w="0" w:type="dxa"/>
            <w:left w:w="108" w:type="dxa"/>
            <w:bottom w:w="0" w:type="dxa"/>
            <w:right w:w="108" w:type="dxa"/>
          </w:tblCellMar>
        </w:tblPrEx>
        <w:trPr>
          <w:trHeight w:val="30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098CB20A">
            <w:pPr>
              <w:widowControl/>
              <w:jc w:val="left"/>
              <w:rPr>
                <w:rFonts w:ascii="宋体" w:hAnsi="宋体" w:cs="宋体"/>
                <w:color w:val="000000"/>
                <w:kern w:val="0"/>
                <w:sz w:val="24"/>
              </w:rPr>
            </w:pPr>
          </w:p>
        </w:tc>
        <w:tc>
          <w:tcPr>
            <w:tcW w:w="2678" w:type="dxa"/>
            <w:gridSpan w:val="2"/>
            <w:tcBorders>
              <w:top w:val="single" w:color="auto" w:sz="4" w:space="0"/>
              <w:left w:val="nil"/>
              <w:bottom w:val="single" w:color="auto" w:sz="4" w:space="0"/>
              <w:right w:val="single" w:color="auto" w:sz="4" w:space="0"/>
            </w:tcBorders>
            <w:shd w:val="clear" w:color="auto" w:fill="auto"/>
            <w:noWrap/>
            <w:vAlign w:val="center"/>
          </w:tcPr>
          <w:p w14:paraId="7596CE45">
            <w:pPr>
              <w:widowControl/>
              <w:ind w:firstLine="440"/>
              <w:jc w:val="center"/>
              <w:rPr>
                <w:rFonts w:ascii="宋体" w:hAnsi="宋体" w:cs="宋体"/>
                <w:color w:val="000000"/>
                <w:kern w:val="0"/>
                <w:sz w:val="22"/>
                <w:szCs w:val="22"/>
              </w:rPr>
            </w:pPr>
            <w:r>
              <w:rPr>
                <w:rFonts w:hint="eastAsia" w:ascii="宋体" w:hAnsi="宋体" w:cs="宋体"/>
                <w:color w:val="000000"/>
                <w:kern w:val="0"/>
                <w:sz w:val="22"/>
                <w:szCs w:val="22"/>
              </w:rPr>
              <w:t>微信-非盈利</w:t>
            </w:r>
          </w:p>
        </w:tc>
        <w:tc>
          <w:tcPr>
            <w:tcW w:w="2126" w:type="dxa"/>
            <w:tcBorders>
              <w:top w:val="nil"/>
              <w:left w:val="nil"/>
              <w:bottom w:val="single" w:color="auto" w:sz="4" w:space="0"/>
              <w:right w:val="single" w:color="auto" w:sz="4" w:space="0"/>
            </w:tcBorders>
            <w:shd w:val="clear" w:color="auto" w:fill="auto"/>
            <w:noWrap/>
            <w:vAlign w:val="center"/>
          </w:tcPr>
          <w:p w14:paraId="35742674">
            <w:pPr>
              <w:widowControl/>
              <w:jc w:val="center"/>
              <w:rPr>
                <w:rFonts w:ascii="宋体" w:hAnsi="宋体" w:cs="宋体"/>
                <w:color w:val="000000"/>
                <w:kern w:val="0"/>
                <w:sz w:val="24"/>
              </w:rPr>
            </w:pPr>
          </w:p>
        </w:tc>
      </w:tr>
      <w:tr w14:paraId="38B7A145">
        <w:tblPrEx>
          <w:tblCellMar>
            <w:top w:w="0" w:type="dxa"/>
            <w:left w:w="108" w:type="dxa"/>
            <w:bottom w:w="0" w:type="dxa"/>
            <w:right w:w="108" w:type="dxa"/>
          </w:tblCellMar>
        </w:tblPrEx>
        <w:trPr>
          <w:trHeight w:val="300" w:hRule="atLeast"/>
          <w:jc w:val="center"/>
        </w:trPr>
        <w:tc>
          <w:tcPr>
            <w:tcW w:w="2000" w:type="dxa"/>
            <w:vMerge w:val="restart"/>
            <w:tcBorders>
              <w:top w:val="nil"/>
              <w:left w:val="single" w:color="auto" w:sz="4" w:space="0"/>
              <w:bottom w:val="single" w:color="auto" w:sz="4" w:space="0"/>
              <w:right w:val="single" w:color="auto" w:sz="4" w:space="0"/>
            </w:tcBorders>
            <w:shd w:val="clear" w:color="auto" w:fill="auto"/>
            <w:noWrap/>
            <w:vAlign w:val="center"/>
          </w:tcPr>
          <w:p w14:paraId="7FEB64FF">
            <w:pPr>
              <w:widowControl/>
              <w:ind w:firstLine="440"/>
              <w:jc w:val="center"/>
              <w:rPr>
                <w:rFonts w:ascii="宋体" w:hAnsi="宋体" w:cs="宋体"/>
                <w:color w:val="000000"/>
                <w:kern w:val="0"/>
                <w:sz w:val="22"/>
                <w:szCs w:val="22"/>
              </w:rPr>
            </w:pPr>
            <w:r>
              <w:rPr>
                <w:rFonts w:hint="eastAsia" w:ascii="宋体" w:hAnsi="宋体" w:cs="宋体"/>
                <w:color w:val="000000"/>
                <w:kern w:val="0"/>
                <w:sz w:val="22"/>
                <w:szCs w:val="22"/>
              </w:rPr>
              <w:t>银联二维码</w:t>
            </w:r>
          </w:p>
        </w:tc>
        <w:tc>
          <w:tcPr>
            <w:tcW w:w="2678" w:type="dxa"/>
            <w:gridSpan w:val="2"/>
            <w:tcBorders>
              <w:top w:val="single" w:color="auto" w:sz="4" w:space="0"/>
              <w:left w:val="nil"/>
              <w:bottom w:val="single" w:color="auto" w:sz="4" w:space="0"/>
              <w:right w:val="single" w:color="auto" w:sz="4" w:space="0"/>
            </w:tcBorders>
            <w:shd w:val="clear" w:color="auto" w:fill="auto"/>
            <w:noWrap/>
            <w:vAlign w:val="center"/>
          </w:tcPr>
          <w:p w14:paraId="048E8380">
            <w:pPr>
              <w:widowControl/>
              <w:ind w:firstLine="440"/>
              <w:jc w:val="center"/>
              <w:rPr>
                <w:rFonts w:ascii="宋体" w:hAnsi="宋体" w:cs="宋体"/>
                <w:color w:val="000000"/>
                <w:kern w:val="0"/>
                <w:sz w:val="22"/>
                <w:szCs w:val="22"/>
              </w:rPr>
            </w:pPr>
            <w:r>
              <w:rPr>
                <w:rFonts w:hint="eastAsia" w:ascii="宋体" w:hAnsi="宋体" w:cs="宋体"/>
                <w:color w:val="000000"/>
                <w:kern w:val="0"/>
                <w:sz w:val="22"/>
                <w:szCs w:val="22"/>
              </w:rPr>
              <w:t>银联单笔1000元</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含</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及以下</w:t>
            </w:r>
          </w:p>
        </w:tc>
        <w:tc>
          <w:tcPr>
            <w:tcW w:w="2126" w:type="dxa"/>
            <w:tcBorders>
              <w:top w:val="nil"/>
              <w:left w:val="nil"/>
              <w:bottom w:val="single" w:color="auto" w:sz="4" w:space="0"/>
              <w:right w:val="single" w:color="auto" w:sz="4" w:space="0"/>
            </w:tcBorders>
            <w:shd w:val="clear" w:color="auto" w:fill="auto"/>
          </w:tcPr>
          <w:p w14:paraId="6A577886">
            <w:pPr>
              <w:widowControl/>
              <w:jc w:val="center"/>
              <w:rPr>
                <w:rFonts w:ascii="宋体" w:hAnsi="宋体" w:cs="宋体"/>
                <w:color w:val="000000"/>
                <w:kern w:val="0"/>
                <w:sz w:val="24"/>
              </w:rPr>
            </w:pPr>
          </w:p>
        </w:tc>
      </w:tr>
      <w:tr w14:paraId="0EBABAC2">
        <w:tblPrEx>
          <w:tblCellMar>
            <w:top w:w="0" w:type="dxa"/>
            <w:left w:w="108" w:type="dxa"/>
            <w:bottom w:w="0" w:type="dxa"/>
            <w:right w:w="108" w:type="dxa"/>
          </w:tblCellMar>
        </w:tblPrEx>
        <w:trPr>
          <w:trHeight w:val="30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77B29FD1">
            <w:pPr>
              <w:widowControl/>
              <w:ind w:firstLine="440"/>
              <w:jc w:val="left"/>
              <w:rPr>
                <w:rFonts w:ascii="宋体" w:hAnsi="宋体" w:cs="宋体"/>
                <w:color w:val="000000"/>
                <w:kern w:val="0"/>
                <w:sz w:val="22"/>
                <w:szCs w:val="22"/>
              </w:rPr>
            </w:pPr>
          </w:p>
        </w:tc>
        <w:tc>
          <w:tcPr>
            <w:tcW w:w="2678" w:type="dxa"/>
            <w:gridSpan w:val="2"/>
            <w:tcBorders>
              <w:top w:val="single" w:color="auto" w:sz="4" w:space="0"/>
              <w:left w:val="nil"/>
              <w:bottom w:val="single" w:color="auto" w:sz="4" w:space="0"/>
              <w:right w:val="single" w:color="auto" w:sz="4" w:space="0"/>
            </w:tcBorders>
            <w:shd w:val="clear" w:color="auto" w:fill="auto"/>
            <w:noWrap/>
            <w:vAlign w:val="center"/>
          </w:tcPr>
          <w:p w14:paraId="1AAA0745">
            <w:pPr>
              <w:widowControl/>
              <w:ind w:firstLine="440"/>
              <w:jc w:val="center"/>
              <w:rPr>
                <w:rFonts w:ascii="宋体" w:hAnsi="宋体" w:cs="宋体"/>
                <w:color w:val="000000"/>
                <w:kern w:val="0"/>
                <w:sz w:val="22"/>
                <w:szCs w:val="22"/>
              </w:rPr>
            </w:pPr>
            <w:r>
              <w:rPr>
                <w:rFonts w:hint="eastAsia" w:ascii="宋体" w:hAnsi="宋体" w:cs="宋体"/>
                <w:color w:val="000000"/>
                <w:kern w:val="0"/>
                <w:sz w:val="22"/>
                <w:szCs w:val="22"/>
              </w:rPr>
              <w:t>银联单笔1000元以上</w:t>
            </w:r>
          </w:p>
        </w:tc>
        <w:tc>
          <w:tcPr>
            <w:tcW w:w="2126" w:type="dxa"/>
            <w:tcBorders>
              <w:top w:val="nil"/>
              <w:left w:val="nil"/>
              <w:bottom w:val="single" w:color="auto" w:sz="4" w:space="0"/>
              <w:right w:val="single" w:color="auto" w:sz="4" w:space="0"/>
            </w:tcBorders>
            <w:shd w:val="clear" w:color="auto" w:fill="auto"/>
          </w:tcPr>
          <w:p w14:paraId="07E59CBD">
            <w:pPr>
              <w:widowControl/>
              <w:jc w:val="center"/>
              <w:rPr>
                <w:rFonts w:ascii="宋体" w:hAnsi="宋体" w:cs="宋体"/>
                <w:color w:val="000000"/>
                <w:kern w:val="0"/>
                <w:sz w:val="24"/>
              </w:rPr>
            </w:pPr>
          </w:p>
        </w:tc>
      </w:tr>
      <w:tr w14:paraId="5C8C91B5">
        <w:tblPrEx>
          <w:tblCellMar>
            <w:top w:w="0" w:type="dxa"/>
            <w:left w:w="108" w:type="dxa"/>
            <w:bottom w:w="0" w:type="dxa"/>
            <w:right w:w="108" w:type="dxa"/>
          </w:tblCellMar>
        </w:tblPrEx>
        <w:trPr>
          <w:trHeight w:val="300" w:hRule="atLeast"/>
          <w:jc w:val="center"/>
        </w:trPr>
        <w:tc>
          <w:tcPr>
            <w:tcW w:w="2000" w:type="dxa"/>
            <w:vMerge w:val="restart"/>
            <w:tcBorders>
              <w:top w:val="nil"/>
              <w:left w:val="single" w:color="auto" w:sz="4" w:space="0"/>
              <w:bottom w:val="single" w:color="000000" w:sz="4" w:space="0"/>
              <w:right w:val="single" w:color="auto" w:sz="4" w:space="0"/>
            </w:tcBorders>
            <w:shd w:val="clear" w:color="auto" w:fill="auto"/>
            <w:noWrap/>
            <w:vAlign w:val="center"/>
          </w:tcPr>
          <w:p w14:paraId="2C9B4B84">
            <w:pPr>
              <w:widowControl/>
              <w:ind w:firstLine="440"/>
              <w:jc w:val="center"/>
              <w:rPr>
                <w:rFonts w:ascii="宋体" w:hAnsi="宋体" w:cs="宋体"/>
                <w:color w:val="000000"/>
                <w:kern w:val="0"/>
                <w:sz w:val="22"/>
                <w:szCs w:val="22"/>
              </w:rPr>
            </w:pPr>
            <w:r>
              <w:rPr>
                <w:rFonts w:hint="eastAsia" w:ascii="宋体" w:hAnsi="宋体" w:cs="宋体"/>
                <w:color w:val="000000"/>
                <w:kern w:val="0"/>
                <w:sz w:val="22"/>
                <w:szCs w:val="22"/>
              </w:rPr>
              <w:t>银行卡刷卡</w:t>
            </w:r>
          </w:p>
        </w:tc>
        <w:tc>
          <w:tcPr>
            <w:tcW w:w="2678" w:type="dxa"/>
            <w:gridSpan w:val="2"/>
            <w:tcBorders>
              <w:top w:val="single" w:color="auto" w:sz="4" w:space="0"/>
              <w:left w:val="nil"/>
              <w:bottom w:val="single" w:color="auto" w:sz="4" w:space="0"/>
              <w:right w:val="single" w:color="auto" w:sz="4" w:space="0"/>
            </w:tcBorders>
            <w:shd w:val="clear" w:color="auto" w:fill="auto"/>
            <w:noWrap/>
            <w:vAlign w:val="center"/>
          </w:tcPr>
          <w:p w14:paraId="5CACD2C7">
            <w:pPr>
              <w:widowControl/>
              <w:ind w:firstLine="440"/>
              <w:jc w:val="center"/>
              <w:rPr>
                <w:rFonts w:ascii="宋体" w:hAnsi="宋体" w:cs="宋体"/>
                <w:color w:val="000000"/>
                <w:kern w:val="0"/>
                <w:sz w:val="22"/>
                <w:szCs w:val="22"/>
              </w:rPr>
            </w:pPr>
            <w:r>
              <w:rPr>
                <w:rFonts w:hint="eastAsia" w:ascii="宋体" w:hAnsi="宋体" w:cs="宋体"/>
                <w:color w:val="000000"/>
                <w:kern w:val="0"/>
                <w:sz w:val="22"/>
                <w:szCs w:val="22"/>
              </w:rPr>
              <w:t>刷卡手续费借记</w:t>
            </w:r>
          </w:p>
        </w:tc>
        <w:tc>
          <w:tcPr>
            <w:tcW w:w="2126" w:type="dxa"/>
            <w:tcBorders>
              <w:top w:val="nil"/>
              <w:left w:val="nil"/>
              <w:bottom w:val="single" w:color="auto" w:sz="4" w:space="0"/>
              <w:right w:val="single" w:color="auto" w:sz="4" w:space="0"/>
            </w:tcBorders>
            <w:shd w:val="clear" w:color="auto" w:fill="auto"/>
            <w:noWrap/>
            <w:vAlign w:val="center"/>
          </w:tcPr>
          <w:p w14:paraId="6D1F1599">
            <w:pPr>
              <w:widowControl/>
              <w:jc w:val="center"/>
              <w:rPr>
                <w:rFonts w:ascii="宋体" w:hAnsi="宋体" w:cs="宋体"/>
                <w:color w:val="000000"/>
                <w:kern w:val="0"/>
                <w:sz w:val="24"/>
              </w:rPr>
            </w:pPr>
          </w:p>
        </w:tc>
      </w:tr>
      <w:tr w14:paraId="5B412F97">
        <w:tblPrEx>
          <w:tblCellMar>
            <w:top w:w="0" w:type="dxa"/>
            <w:left w:w="108" w:type="dxa"/>
            <w:bottom w:w="0" w:type="dxa"/>
            <w:right w:w="108" w:type="dxa"/>
          </w:tblCellMar>
        </w:tblPrEx>
        <w:trPr>
          <w:trHeight w:val="300" w:hRule="atLeast"/>
          <w:jc w:val="center"/>
        </w:trPr>
        <w:tc>
          <w:tcPr>
            <w:tcW w:w="2000" w:type="dxa"/>
            <w:vMerge w:val="continue"/>
            <w:tcBorders>
              <w:top w:val="nil"/>
              <w:left w:val="single" w:color="auto" w:sz="4" w:space="0"/>
              <w:bottom w:val="single" w:color="000000" w:sz="4" w:space="0"/>
              <w:right w:val="single" w:color="auto" w:sz="4" w:space="0"/>
            </w:tcBorders>
            <w:vAlign w:val="center"/>
          </w:tcPr>
          <w:p w14:paraId="17BEA1CD">
            <w:pPr>
              <w:widowControl/>
              <w:ind w:firstLine="440"/>
              <w:jc w:val="left"/>
              <w:rPr>
                <w:rFonts w:ascii="宋体" w:hAnsi="宋体" w:cs="宋体"/>
                <w:color w:val="000000"/>
                <w:kern w:val="0"/>
                <w:sz w:val="22"/>
                <w:szCs w:val="22"/>
              </w:rPr>
            </w:pPr>
          </w:p>
        </w:tc>
        <w:tc>
          <w:tcPr>
            <w:tcW w:w="2678" w:type="dxa"/>
            <w:gridSpan w:val="2"/>
            <w:tcBorders>
              <w:top w:val="single" w:color="auto" w:sz="4" w:space="0"/>
              <w:left w:val="nil"/>
              <w:bottom w:val="single" w:color="auto" w:sz="4" w:space="0"/>
              <w:right w:val="single" w:color="auto" w:sz="4" w:space="0"/>
            </w:tcBorders>
            <w:shd w:val="clear" w:color="auto" w:fill="auto"/>
            <w:noWrap/>
            <w:vAlign w:val="center"/>
          </w:tcPr>
          <w:p w14:paraId="0751EF2C">
            <w:pPr>
              <w:widowControl/>
              <w:ind w:firstLine="440"/>
              <w:jc w:val="center"/>
              <w:rPr>
                <w:rFonts w:ascii="宋体" w:hAnsi="宋体" w:cs="宋体"/>
                <w:color w:val="000000"/>
                <w:kern w:val="0"/>
                <w:sz w:val="22"/>
                <w:szCs w:val="22"/>
              </w:rPr>
            </w:pPr>
            <w:r>
              <w:rPr>
                <w:rFonts w:hint="eastAsia" w:ascii="宋体" w:hAnsi="宋体" w:cs="宋体"/>
                <w:color w:val="000000"/>
                <w:kern w:val="0"/>
                <w:sz w:val="22"/>
                <w:szCs w:val="22"/>
              </w:rPr>
              <w:t>刷卡手续费贷记</w:t>
            </w:r>
          </w:p>
        </w:tc>
        <w:tc>
          <w:tcPr>
            <w:tcW w:w="2126" w:type="dxa"/>
            <w:tcBorders>
              <w:top w:val="nil"/>
              <w:left w:val="nil"/>
              <w:bottom w:val="single" w:color="auto" w:sz="4" w:space="0"/>
              <w:right w:val="single" w:color="auto" w:sz="4" w:space="0"/>
            </w:tcBorders>
            <w:shd w:val="clear" w:color="auto" w:fill="auto"/>
            <w:noWrap/>
            <w:vAlign w:val="center"/>
          </w:tcPr>
          <w:p w14:paraId="6D511936">
            <w:pPr>
              <w:widowControl/>
              <w:jc w:val="center"/>
              <w:rPr>
                <w:rFonts w:ascii="宋体" w:hAnsi="宋体" w:cs="宋体"/>
                <w:color w:val="000000"/>
                <w:kern w:val="0"/>
                <w:sz w:val="24"/>
              </w:rPr>
            </w:pPr>
          </w:p>
        </w:tc>
      </w:tr>
    </w:tbl>
    <w:p w14:paraId="395923BC">
      <w:pPr>
        <w:spacing w:line="360" w:lineRule="auto"/>
        <w:jc w:val="left"/>
        <w:rPr>
          <w:rFonts w:ascii="宋体" w:hAnsi="宋体" w:cs="宋体"/>
          <w:b/>
          <w:sz w:val="24"/>
        </w:rPr>
      </w:pPr>
    </w:p>
    <w:p w14:paraId="21E2A645">
      <w:pPr>
        <w:spacing w:line="360" w:lineRule="auto"/>
        <w:ind w:firstLine="480" w:firstLineChars="200"/>
        <w:jc w:val="left"/>
        <w:rPr>
          <w:rFonts w:ascii="宋体" w:hAnsi="宋体" w:cs="宋体"/>
          <w:sz w:val="24"/>
        </w:rPr>
      </w:pPr>
      <w:r>
        <w:rPr>
          <w:rFonts w:hint="eastAsia" w:ascii="宋体" w:hAnsi="宋体" w:cs="宋体"/>
          <w:sz w:val="24"/>
        </w:rPr>
        <w:t>2、服务费标准</w:t>
      </w:r>
    </w:p>
    <w:p w14:paraId="0F52A80E">
      <w:pPr>
        <w:spacing w:line="360" w:lineRule="auto"/>
        <w:ind w:firstLine="480" w:firstLineChars="200"/>
        <w:jc w:val="left"/>
        <w:rPr>
          <w:rFonts w:ascii="宋体" w:hAnsi="宋体" w:cs="宋体"/>
          <w:sz w:val="24"/>
        </w:rPr>
      </w:pPr>
      <w:r>
        <w:rPr>
          <w:rFonts w:hint="eastAsia" w:ascii="宋体" w:hAnsi="宋体" w:cs="宋体"/>
          <w:sz w:val="24"/>
        </w:rPr>
        <w:t>甲方向乙方支付服务费的计算方式如下：</w:t>
      </w:r>
    </w:p>
    <w:p w14:paraId="7105D8FB">
      <w:pPr>
        <w:spacing w:line="360" w:lineRule="auto"/>
        <w:ind w:firstLine="480" w:firstLineChars="200"/>
        <w:jc w:val="left"/>
        <w:rPr>
          <w:rFonts w:ascii="宋体" w:hAnsi="宋体" w:cs="宋体"/>
          <w:sz w:val="24"/>
        </w:rPr>
      </w:pPr>
      <w:r>
        <w:rPr>
          <w:rFonts w:hint="eastAsia" w:ascii="宋体" w:hAnsi="宋体" w:cs="宋体"/>
          <w:sz w:val="24"/>
        </w:rPr>
        <w:t>服务费=（乙方推荐的特约商户签约费率×有效交易金额-乙方结算费率×有效交易金额）×服务费比例。</w:t>
      </w:r>
    </w:p>
    <w:p w14:paraId="4B16AD57">
      <w:pPr>
        <w:spacing w:line="360" w:lineRule="auto"/>
        <w:ind w:firstLine="480" w:firstLineChars="200"/>
        <w:jc w:val="left"/>
        <w:rPr>
          <w:rFonts w:ascii="宋体" w:hAnsi="宋体" w:cs="宋体"/>
          <w:b/>
          <w:sz w:val="24"/>
        </w:rPr>
      </w:pPr>
      <w:r>
        <w:rPr>
          <w:rFonts w:hint="eastAsia" w:ascii="宋体" w:hAnsi="宋体" w:cs="宋体"/>
          <w:sz w:val="24"/>
        </w:rPr>
        <w:t>如无特殊约定，服务费比例为100%。</w:t>
      </w:r>
    </w:p>
    <w:p w14:paraId="15D6CEF5">
      <w:pPr>
        <w:spacing w:line="360" w:lineRule="auto"/>
        <w:ind w:firstLine="482" w:firstLineChars="200"/>
        <w:jc w:val="left"/>
        <w:rPr>
          <w:rFonts w:ascii="宋体" w:hAnsi="宋体" w:cs="宋体"/>
          <w:b/>
          <w:sz w:val="24"/>
        </w:rPr>
      </w:pPr>
      <w:r>
        <w:rPr>
          <w:rFonts w:hint="eastAsia" w:ascii="宋体" w:hAnsi="宋体" w:cs="宋体"/>
          <w:b/>
          <w:sz w:val="24"/>
        </w:rPr>
        <w:t>四、银行联合收单</w:t>
      </w:r>
    </w:p>
    <w:p w14:paraId="6CCE50D0">
      <w:pPr>
        <w:spacing w:line="360" w:lineRule="auto"/>
        <w:ind w:firstLine="480" w:firstLineChars="200"/>
        <w:rPr>
          <w:rFonts w:ascii="宋体" w:hAnsi="宋体" w:cs="宋体"/>
          <w:sz w:val="24"/>
        </w:rPr>
      </w:pPr>
      <w:r>
        <w:rPr>
          <w:rFonts w:hint="eastAsia" w:ascii="宋体" w:hAnsi="宋体" w:cs="宋体"/>
          <w:sz w:val="24"/>
        </w:rPr>
        <w:t>1、甲乙双方在银行卡收单、微信、支付宝及银联二维码等合作的基础上，甲方通过与各银行达成合作，引入签约的银行作为乙方所推荐商户的结算方，即乙方等外包服务机构维护的特约商户绑定甲方签约的银行个人结算卡为特约商户收单结算账户，甲方为符合条件的绑卡特约商户提供手续费优免活动。具体手续费优免活动规则按照银行给予补贴政策的8</w:t>
      </w:r>
      <w:r>
        <w:rPr>
          <w:rFonts w:ascii="宋体" w:hAnsi="宋体" w:cs="宋体"/>
          <w:sz w:val="24"/>
        </w:rPr>
        <w:t>0%</w:t>
      </w:r>
      <w:r>
        <w:rPr>
          <w:rFonts w:hint="eastAsia" w:ascii="宋体" w:hAnsi="宋体" w:cs="宋体"/>
          <w:sz w:val="24"/>
        </w:rPr>
        <w:t>执行，其有效绑卡特约商户以及具体相关政策以银行认定为准。</w:t>
      </w:r>
    </w:p>
    <w:p w14:paraId="41FF242A">
      <w:pPr>
        <w:spacing w:line="360" w:lineRule="auto"/>
        <w:ind w:firstLine="480" w:firstLineChars="200"/>
        <w:rPr>
          <w:rFonts w:ascii="宋体" w:hAnsi="宋体" w:cs="宋体"/>
          <w:sz w:val="24"/>
        </w:rPr>
      </w:pPr>
      <w:r>
        <w:rPr>
          <w:rFonts w:hint="eastAsia" w:ascii="宋体" w:hAnsi="宋体" w:cs="宋体"/>
          <w:sz w:val="24"/>
        </w:rPr>
        <w:t xml:space="preserve">2、乙方应配合甲方按月、按季度、按年排查享受以上手续费优惠政策的特约商户资质，对于恶意套取优惠补贴或存在其他异常行为的特约商户，乙方应配合甲方及时终止手续费优惠政策及相关服务，如给甲方造成资损，赔偿甲方并承担违约责任。 </w:t>
      </w:r>
    </w:p>
    <w:p w14:paraId="741B289C">
      <w:pPr>
        <w:spacing w:line="360" w:lineRule="auto"/>
        <w:ind w:firstLine="480" w:firstLineChars="200"/>
        <w:rPr>
          <w:rFonts w:ascii="宋体" w:hAnsi="宋体" w:cs="宋体"/>
          <w:sz w:val="24"/>
        </w:rPr>
      </w:pPr>
      <w:r>
        <w:rPr>
          <w:rFonts w:hint="eastAsia" w:ascii="宋体" w:hAnsi="宋体" w:cs="宋体"/>
          <w:sz w:val="24"/>
        </w:rPr>
        <w:t xml:space="preserve">3、甲方定期通过系统拉取所有绑卡特约商户数据明细，乙方进行核对，甲乙双方核对数据不一致的以甲方系统统计数据为准。双方核对无误且甲方收到银行补贴款项后，由乙方提供合格增值税专用发票，甲方在收到增值税专用发票后 </w:t>
      </w:r>
      <w:r>
        <w:rPr>
          <w:rFonts w:ascii="宋体" w:hAnsi="宋体" w:cs="宋体"/>
          <w:sz w:val="24"/>
        </w:rPr>
        <w:t>_20_</w:t>
      </w:r>
      <w:r>
        <w:rPr>
          <w:rFonts w:hint="eastAsia" w:ascii="宋体" w:hAnsi="宋体" w:cs="宋体"/>
          <w:sz w:val="24"/>
        </w:rPr>
        <w:t xml:space="preserve"> 个工作日内通过银行转账形式将前期产生的手续费支付到乙方指定对公账户。</w:t>
      </w:r>
    </w:p>
    <w:p w14:paraId="50F1E234">
      <w:pPr>
        <w:spacing w:line="360" w:lineRule="auto"/>
        <w:ind w:firstLine="480" w:firstLineChars="200"/>
        <w:rPr>
          <w:rFonts w:ascii="宋体" w:hAnsi="宋体" w:cs="宋体"/>
          <w:sz w:val="24"/>
        </w:rPr>
      </w:pPr>
      <w:r>
        <w:rPr>
          <w:rFonts w:hint="eastAsia" w:ascii="宋体" w:hAnsi="宋体" w:cs="宋体"/>
          <w:sz w:val="24"/>
        </w:rPr>
        <w:t>4、甲方有权就乙方对其服务及产品制作的宣传内容进行审核，对内容不符合国家法律法规和涉及虚假承诺或过度承诺的内容，甲方有权要求乙方纠正。乙方应确保其业务开展的合法合规性，如因乙方业务合法合规性导致甲方遭受损失，甲方有权向乙方进行追责。</w:t>
      </w:r>
    </w:p>
    <w:p w14:paraId="6A7FD6B4">
      <w:pPr>
        <w:spacing w:line="360" w:lineRule="auto"/>
        <w:ind w:firstLine="482" w:firstLineChars="200"/>
        <w:jc w:val="left"/>
        <w:rPr>
          <w:rFonts w:ascii="宋体" w:hAnsi="宋体" w:cs="宋体"/>
          <w:b/>
          <w:sz w:val="24"/>
        </w:rPr>
      </w:pPr>
      <w:r>
        <w:rPr>
          <w:rFonts w:hint="eastAsia" w:ascii="宋体" w:hAnsi="宋体" w:cs="宋体"/>
          <w:b/>
          <w:sz w:val="24"/>
        </w:rPr>
        <w:t>五、费用结算要求</w:t>
      </w:r>
    </w:p>
    <w:p w14:paraId="455CB439">
      <w:pPr>
        <w:spacing w:line="360" w:lineRule="auto"/>
        <w:ind w:firstLine="480" w:firstLineChars="200"/>
        <w:rPr>
          <w:rFonts w:ascii="宋体" w:hAnsi="宋体" w:cs="宋体"/>
          <w:sz w:val="24"/>
        </w:rPr>
      </w:pPr>
      <w:r>
        <w:rPr>
          <w:rFonts w:hint="eastAsia" w:ascii="宋体" w:hAnsi="宋体" w:cs="宋体"/>
          <w:sz w:val="24"/>
        </w:rPr>
        <w:t>1. 物料费用</w:t>
      </w:r>
    </w:p>
    <w:p w14:paraId="107AB9B7">
      <w:pPr>
        <w:spacing w:line="360" w:lineRule="auto"/>
        <w:ind w:firstLine="480" w:firstLineChars="200"/>
        <w:rPr>
          <w:rFonts w:ascii="宋体" w:hAnsi="宋体" w:cs="宋体"/>
          <w:sz w:val="24"/>
        </w:rPr>
      </w:pPr>
      <w:r>
        <w:rPr>
          <w:rFonts w:hint="eastAsia" w:ascii="宋体" w:hAnsi="宋体" w:cs="宋体"/>
          <w:sz w:val="24"/>
        </w:rPr>
        <w:t>本协议有效期内，乙方书面通知甲方订货，并在3个工作日内将物料货款划至甲方指定账户，甲方在收到货款后5个工作日内根据乙方要求发出物料。乙方收到物料后应及时检查物料的规格和数量，如有差错，应在收到物料后2个工作日内以书面形式通知甲方，逾期视为甲方已完成物料交付。如甲方已按照要求向乙方完成物料交付，物料货款概不退费。甲方指定账户信息如下：</w:t>
      </w:r>
    </w:p>
    <w:p w14:paraId="4F334E23">
      <w:pPr>
        <w:spacing w:line="360" w:lineRule="auto"/>
        <w:ind w:firstLine="482" w:firstLineChars="200"/>
        <w:rPr>
          <w:rFonts w:ascii="宋体" w:hAnsi="宋体" w:cs="宋体"/>
          <w:sz w:val="24"/>
        </w:rPr>
      </w:pPr>
      <w:r>
        <w:rPr>
          <w:rFonts w:hint="eastAsia" w:ascii="宋体" w:hAnsi="宋体" w:cs="宋体"/>
          <w:b/>
          <w:bCs/>
          <w:sz w:val="24"/>
        </w:rPr>
        <w:t>账户名称：</w:t>
      </w:r>
      <w:r>
        <w:rPr>
          <w:rFonts w:hint="eastAsia" w:ascii="宋体" w:hAnsi="宋体" w:cs="宋体"/>
          <w:sz w:val="24"/>
        </w:rPr>
        <w:t xml:space="preserve">新生支付有限公司 </w:t>
      </w:r>
    </w:p>
    <w:p w14:paraId="7E497871">
      <w:pPr>
        <w:spacing w:line="360" w:lineRule="auto"/>
        <w:ind w:firstLine="482" w:firstLineChars="200"/>
        <w:rPr>
          <w:rFonts w:ascii="宋体" w:hAnsi="宋体" w:cs="宋体"/>
          <w:sz w:val="24"/>
        </w:rPr>
      </w:pPr>
      <w:r>
        <w:rPr>
          <w:rFonts w:hint="eastAsia" w:ascii="宋体" w:hAnsi="宋体" w:cs="宋体"/>
          <w:b/>
          <w:bCs/>
          <w:sz w:val="24"/>
        </w:rPr>
        <w:t>账    号：</w:t>
      </w:r>
      <w:r>
        <w:rPr>
          <w:rFonts w:hint="eastAsia" w:ascii="宋体" w:hAnsi="宋体" w:cs="宋体"/>
          <w:sz w:val="24"/>
        </w:rPr>
        <w:t>17801012010090001303</w:t>
      </w:r>
    </w:p>
    <w:p w14:paraId="639E7E2F">
      <w:pPr>
        <w:spacing w:line="360" w:lineRule="auto"/>
        <w:ind w:firstLine="482" w:firstLineChars="200"/>
        <w:rPr>
          <w:rFonts w:ascii="宋体" w:hAnsi="宋体" w:cs="宋体"/>
          <w:sz w:val="24"/>
        </w:rPr>
      </w:pPr>
      <w:r>
        <w:rPr>
          <w:rFonts w:hint="eastAsia" w:ascii="宋体" w:hAnsi="宋体" w:cs="宋体"/>
          <w:b/>
          <w:bCs/>
          <w:sz w:val="24"/>
        </w:rPr>
        <w:t>开户银行：</w:t>
      </w:r>
      <w:r>
        <w:rPr>
          <w:rFonts w:hint="eastAsia" w:ascii="宋体" w:hAnsi="宋体" w:cs="宋体"/>
          <w:sz w:val="24"/>
        </w:rPr>
        <w:t>浙江稠州商业银行股份有限公司温州乐清小微企业专营支行</w:t>
      </w:r>
    </w:p>
    <w:p w14:paraId="7DF96F70">
      <w:pPr>
        <w:spacing w:line="360" w:lineRule="auto"/>
        <w:ind w:firstLine="480" w:firstLineChars="200"/>
        <w:rPr>
          <w:rFonts w:ascii="宋体" w:hAnsi="宋体" w:cs="宋体"/>
          <w:sz w:val="24"/>
        </w:rPr>
      </w:pPr>
      <w:r>
        <w:rPr>
          <w:rFonts w:ascii="宋体" w:hAnsi="宋体" w:cs="宋体"/>
          <w:sz w:val="24"/>
        </w:rPr>
        <w:t>乙方首次订货信息</w:t>
      </w:r>
      <w:r>
        <w:rPr>
          <w:rFonts w:hint="eastAsia" w:ascii="宋体" w:hAnsi="宋体" w:cs="宋体"/>
          <w:sz w:val="24"/>
        </w:rPr>
        <w:t>：</w:t>
      </w:r>
    </w:p>
    <w:tbl>
      <w:tblPr>
        <w:tblStyle w:val="10"/>
        <w:tblW w:w="5940" w:type="dxa"/>
        <w:jc w:val="center"/>
        <w:tblLayout w:type="autofit"/>
        <w:tblCellMar>
          <w:top w:w="0" w:type="dxa"/>
          <w:left w:w="108" w:type="dxa"/>
          <w:bottom w:w="0" w:type="dxa"/>
          <w:right w:w="108" w:type="dxa"/>
        </w:tblCellMar>
      </w:tblPr>
      <w:tblGrid>
        <w:gridCol w:w="960"/>
        <w:gridCol w:w="1140"/>
        <w:gridCol w:w="960"/>
        <w:gridCol w:w="960"/>
        <w:gridCol w:w="960"/>
        <w:gridCol w:w="960"/>
      </w:tblGrid>
      <w:tr w14:paraId="7BEB0DE6">
        <w:tblPrEx>
          <w:tblCellMar>
            <w:top w:w="0" w:type="dxa"/>
            <w:left w:w="108" w:type="dxa"/>
            <w:bottom w:w="0" w:type="dxa"/>
            <w:right w:w="108" w:type="dxa"/>
          </w:tblCellMar>
        </w:tblPrEx>
        <w:trPr>
          <w:trHeight w:val="28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350D9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140" w:type="dxa"/>
            <w:tcBorders>
              <w:top w:val="single" w:color="auto" w:sz="4" w:space="0"/>
              <w:left w:val="nil"/>
              <w:bottom w:val="single" w:color="auto" w:sz="4" w:space="0"/>
              <w:right w:val="single" w:color="auto" w:sz="4" w:space="0"/>
            </w:tcBorders>
            <w:shd w:val="clear" w:color="auto" w:fill="auto"/>
            <w:noWrap/>
            <w:vAlign w:val="bottom"/>
          </w:tcPr>
          <w:p w14:paraId="3F56C43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物料类型</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7EB1C5C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规格</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04FD105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7B68206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单价</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64B12BD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总金额</w:t>
            </w:r>
          </w:p>
        </w:tc>
      </w:tr>
      <w:tr w14:paraId="066F0C67">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bottom"/>
          </w:tcPr>
          <w:p w14:paraId="03811F0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noWrap/>
            <w:vAlign w:val="bottom"/>
          </w:tcPr>
          <w:p w14:paraId="0B8F12F4">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0" w:type="dxa"/>
            <w:tcBorders>
              <w:top w:val="nil"/>
              <w:left w:val="nil"/>
              <w:bottom w:val="single" w:color="auto" w:sz="4" w:space="0"/>
              <w:right w:val="single" w:color="auto" w:sz="4" w:space="0"/>
            </w:tcBorders>
            <w:shd w:val="clear" w:color="auto" w:fill="auto"/>
            <w:noWrap/>
            <w:vAlign w:val="bottom"/>
          </w:tcPr>
          <w:p w14:paraId="0AD6C6D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0" w:type="dxa"/>
            <w:tcBorders>
              <w:top w:val="nil"/>
              <w:left w:val="nil"/>
              <w:bottom w:val="single" w:color="auto" w:sz="4" w:space="0"/>
              <w:right w:val="single" w:color="auto" w:sz="4" w:space="0"/>
            </w:tcBorders>
            <w:shd w:val="clear" w:color="auto" w:fill="auto"/>
            <w:noWrap/>
            <w:vAlign w:val="bottom"/>
          </w:tcPr>
          <w:p w14:paraId="6C97531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0" w:type="dxa"/>
            <w:tcBorders>
              <w:top w:val="nil"/>
              <w:left w:val="nil"/>
              <w:bottom w:val="single" w:color="auto" w:sz="4" w:space="0"/>
              <w:right w:val="single" w:color="auto" w:sz="4" w:space="0"/>
            </w:tcBorders>
            <w:shd w:val="clear" w:color="auto" w:fill="auto"/>
            <w:noWrap/>
            <w:vAlign w:val="bottom"/>
          </w:tcPr>
          <w:p w14:paraId="045C690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0" w:type="dxa"/>
            <w:tcBorders>
              <w:top w:val="nil"/>
              <w:left w:val="nil"/>
              <w:bottom w:val="single" w:color="auto" w:sz="4" w:space="0"/>
              <w:right w:val="single" w:color="auto" w:sz="4" w:space="0"/>
            </w:tcBorders>
            <w:shd w:val="clear" w:color="auto" w:fill="auto"/>
            <w:noWrap/>
            <w:vAlign w:val="bottom"/>
          </w:tcPr>
          <w:p w14:paraId="68364E84">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0665BBB2">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bottom"/>
          </w:tcPr>
          <w:p w14:paraId="6D3B74D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noWrap/>
            <w:vAlign w:val="bottom"/>
          </w:tcPr>
          <w:p w14:paraId="1CFEBA3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0" w:type="dxa"/>
            <w:tcBorders>
              <w:top w:val="nil"/>
              <w:left w:val="nil"/>
              <w:bottom w:val="single" w:color="auto" w:sz="4" w:space="0"/>
              <w:right w:val="single" w:color="auto" w:sz="4" w:space="0"/>
            </w:tcBorders>
            <w:shd w:val="clear" w:color="auto" w:fill="auto"/>
            <w:noWrap/>
            <w:vAlign w:val="bottom"/>
          </w:tcPr>
          <w:p w14:paraId="7339D25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0" w:type="dxa"/>
            <w:tcBorders>
              <w:top w:val="nil"/>
              <w:left w:val="nil"/>
              <w:bottom w:val="single" w:color="auto" w:sz="4" w:space="0"/>
              <w:right w:val="single" w:color="auto" w:sz="4" w:space="0"/>
            </w:tcBorders>
            <w:shd w:val="clear" w:color="auto" w:fill="auto"/>
            <w:noWrap/>
            <w:vAlign w:val="bottom"/>
          </w:tcPr>
          <w:p w14:paraId="0C46A2E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0" w:type="dxa"/>
            <w:tcBorders>
              <w:top w:val="nil"/>
              <w:left w:val="nil"/>
              <w:bottom w:val="single" w:color="auto" w:sz="4" w:space="0"/>
              <w:right w:val="single" w:color="auto" w:sz="4" w:space="0"/>
            </w:tcBorders>
            <w:shd w:val="clear" w:color="auto" w:fill="auto"/>
            <w:noWrap/>
            <w:vAlign w:val="bottom"/>
          </w:tcPr>
          <w:p w14:paraId="0CE44F5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0" w:type="dxa"/>
            <w:tcBorders>
              <w:top w:val="nil"/>
              <w:left w:val="nil"/>
              <w:bottom w:val="single" w:color="auto" w:sz="4" w:space="0"/>
              <w:right w:val="single" w:color="auto" w:sz="4" w:space="0"/>
            </w:tcBorders>
            <w:shd w:val="clear" w:color="auto" w:fill="auto"/>
            <w:noWrap/>
            <w:vAlign w:val="bottom"/>
          </w:tcPr>
          <w:p w14:paraId="2DC5554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1C1A81AC">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bottom"/>
          </w:tcPr>
          <w:p w14:paraId="07DE5DE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noWrap/>
            <w:vAlign w:val="bottom"/>
          </w:tcPr>
          <w:p w14:paraId="78C53045">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0" w:type="dxa"/>
            <w:tcBorders>
              <w:top w:val="nil"/>
              <w:left w:val="nil"/>
              <w:bottom w:val="single" w:color="auto" w:sz="4" w:space="0"/>
              <w:right w:val="single" w:color="auto" w:sz="4" w:space="0"/>
            </w:tcBorders>
            <w:shd w:val="clear" w:color="auto" w:fill="auto"/>
            <w:noWrap/>
            <w:vAlign w:val="bottom"/>
          </w:tcPr>
          <w:p w14:paraId="3FD9C09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0" w:type="dxa"/>
            <w:tcBorders>
              <w:top w:val="nil"/>
              <w:left w:val="nil"/>
              <w:bottom w:val="single" w:color="auto" w:sz="4" w:space="0"/>
              <w:right w:val="single" w:color="auto" w:sz="4" w:space="0"/>
            </w:tcBorders>
            <w:shd w:val="clear" w:color="auto" w:fill="auto"/>
            <w:noWrap/>
            <w:vAlign w:val="bottom"/>
          </w:tcPr>
          <w:p w14:paraId="1FBE9F67">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0" w:type="dxa"/>
            <w:tcBorders>
              <w:top w:val="nil"/>
              <w:left w:val="nil"/>
              <w:bottom w:val="single" w:color="auto" w:sz="4" w:space="0"/>
              <w:right w:val="single" w:color="auto" w:sz="4" w:space="0"/>
            </w:tcBorders>
            <w:shd w:val="clear" w:color="auto" w:fill="auto"/>
            <w:noWrap/>
            <w:vAlign w:val="bottom"/>
          </w:tcPr>
          <w:p w14:paraId="6EF5E285">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0" w:type="dxa"/>
            <w:tcBorders>
              <w:top w:val="nil"/>
              <w:left w:val="nil"/>
              <w:bottom w:val="single" w:color="auto" w:sz="4" w:space="0"/>
              <w:right w:val="single" w:color="auto" w:sz="4" w:space="0"/>
            </w:tcBorders>
            <w:shd w:val="clear" w:color="auto" w:fill="auto"/>
            <w:noWrap/>
            <w:vAlign w:val="bottom"/>
          </w:tcPr>
          <w:p w14:paraId="69FFF9A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23B34906">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bottom"/>
          </w:tcPr>
          <w:p w14:paraId="3FED67D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noWrap/>
            <w:vAlign w:val="bottom"/>
          </w:tcPr>
          <w:p w14:paraId="11B4AFF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0" w:type="dxa"/>
            <w:tcBorders>
              <w:top w:val="nil"/>
              <w:left w:val="nil"/>
              <w:bottom w:val="single" w:color="auto" w:sz="4" w:space="0"/>
              <w:right w:val="single" w:color="auto" w:sz="4" w:space="0"/>
            </w:tcBorders>
            <w:shd w:val="clear" w:color="auto" w:fill="auto"/>
            <w:noWrap/>
            <w:vAlign w:val="bottom"/>
          </w:tcPr>
          <w:p w14:paraId="5BCE836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0" w:type="dxa"/>
            <w:tcBorders>
              <w:top w:val="nil"/>
              <w:left w:val="nil"/>
              <w:bottom w:val="single" w:color="auto" w:sz="4" w:space="0"/>
              <w:right w:val="single" w:color="auto" w:sz="4" w:space="0"/>
            </w:tcBorders>
            <w:shd w:val="clear" w:color="auto" w:fill="auto"/>
            <w:noWrap/>
            <w:vAlign w:val="bottom"/>
          </w:tcPr>
          <w:p w14:paraId="1C949C0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0" w:type="dxa"/>
            <w:tcBorders>
              <w:top w:val="nil"/>
              <w:left w:val="nil"/>
              <w:bottom w:val="single" w:color="auto" w:sz="4" w:space="0"/>
              <w:right w:val="single" w:color="auto" w:sz="4" w:space="0"/>
            </w:tcBorders>
            <w:shd w:val="clear" w:color="auto" w:fill="auto"/>
            <w:noWrap/>
            <w:vAlign w:val="bottom"/>
          </w:tcPr>
          <w:p w14:paraId="0C32919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0" w:type="dxa"/>
            <w:tcBorders>
              <w:top w:val="nil"/>
              <w:left w:val="nil"/>
              <w:bottom w:val="single" w:color="auto" w:sz="4" w:space="0"/>
              <w:right w:val="single" w:color="auto" w:sz="4" w:space="0"/>
            </w:tcBorders>
            <w:shd w:val="clear" w:color="auto" w:fill="auto"/>
            <w:noWrap/>
            <w:vAlign w:val="bottom"/>
          </w:tcPr>
          <w:p w14:paraId="0B06ECB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14:paraId="1F9FE701">
      <w:pPr>
        <w:spacing w:line="360" w:lineRule="auto"/>
        <w:rPr>
          <w:rFonts w:ascii="宋体" w:hAnsi="宋体" w:cs="宋体"/>
          <w:sz w:val="24"/>
        </w:rPr>
      </w:pPr>
    </w:p>
    <w:p w14:paraId="75FE931D">
      <w:pPr>
        <w:spacing w:line="360" w:lineRule="auto"/>
        <w:ind w:firstLine="480" w:firstLineChars="200"/>
        <w:rPr>
          <w:rFonts w:ascii="宋体" w:hAnsi="宋体" w:cs="宋体"/>
          <w:sz w:val="24"/>
        </w:rPr>
      </w:pPr>
      <w:r>
        <w:rPr>
          <w:rFonts w:hint="eastAsia" w:ascii="宋体" w:hAnsi="宋体" w:cs="宋体"/>
          <w:sz w:val="24"/>
        </w:rPr>
        <w:t>2.1甲方按月向乙方支付上一自然月的手续费分润，最终计算数据以甲方系统数据为准。甲方应于每月10 日前将上一自然月的交易分润数据提供给乙方对账，乙方若对计算数据存在异议，应在收到数据后三个工作日内提出，逾期未提出异议即表示接受甲方的最终数据。乙方确认无误后按本协议约定向甲方开具增值税专用发票，甲方在收到乙方开具的发票后的20个工作日内向乙方支付手续费分润。乙方收款账户信息如下：</w:t>
      </w:r>
    </w:p>
    <w:p w14:paraId="425EB685">
      <w:pPr>
        <w:spacing w:line="360" w:lineRule="auto"/>
        <w:ind w:firstLine="482" w:firstLineChars="200"/>
        <w:rPr>
          <w:rFonts w:ascii="宋体" w:hAnsi="宋体" w:cs="宋体"/>
          <w:sz w:val="24"/>
        </w:rPr>
      </w:pPr>
      <w:r>
        <w:rPr>
          <w:rFonts w:hint="eastAsia" w:ascii="宋体" w:hAnsi="宋体" w:cs="宋体"/>
          <w:b/>
          <w:bCs/>
          <w:sz w:val="24"/>
        </w:rPr>
        <w:t>账户名称：</w:t>
      </w:r>
      <w:r>
        <w:rPr>
          <w:rFonts w:ascii="宋体" w:hAnsi="宋体" w:cs="宋体"/>
          <w:sz w:val="24"/>
        </w:rPr>
        <w:t xml:space="preserve"> </w:t>
      </w:r>
    </w:p>
    <w:p w14:paraId="468CF73D">
      <w:pPr>
        <w:spacing w:line="360" w:lineRule="auto"/>
        <w:ind w:firstLine="482" w:firstLineChars="200"/>
        <w:rPr>
          <w:rFonts w:ascii="宋体" w:hAnsi="宋体" w:cs="宋体"/>
          <w:sz w:val="24"/>
        </w:rPr>
      </w:pPr>
      <w:r>
        <w:rPr>
          <w:rFonts w:hint="eastAsia" w:ascii="宋体" w:hAnsi="宋体" w:cs="宋体"/>
          <w:b/>
          <w:bCs/>
          <w:sz w:val="24"/>
        </w:rPr>
        <w:t>账    号：</w:t>
      </w:r>
    </w:p>
    <w:p w14:paraId="28F5C0B8">
      <w:pPr>
        <w:spacing w:line="360" w:lineRule="auto"/>
        <w:ind w:firstLine="482" w:firstLineChars="200"/>
        <w:rPr>
          <w:rFonts w:ascii="宋体" w:hAnsi="宋体" w:cs="宋体"/>
          <w:sz w:val="24"/>
        </w:rPr>
      </w:pPr>
      <w:r>
        <w:rPr>
          <w:rFonts w:hint="eastAsia" w:ascii="宋体" w:hAnsi="宋体" w:cs="宋体"/>
          <w:b/>
          <w:bCs/>
          <w:sz w:val="24"/>
        </w:rPr>
        <w:t>开户银行：</w:t>
      </w:r>
      <w:r>
        <w:rPr>
          <w:rFonts w:ascii="宋体" w:hAnsi="宋体" w:cs="宋体"/>
          <w:sz w:val="24"/>
        </w:rPr>
        <w:t xml:space="preserve"> </w:t>
      </w:r>
    </w:p>
    <w:p w14:paraId="76EF1959">
      <w:pPr>
        <w:spacing w:line="360" w:lineRule="auto"/>
        <w:ind w:firstLine="480" w:firstLineChars="200"/>
        <w:rPr>
          <w:rFonts w:ascii="宋体" w:hAnsi="宋体" w:cs="宋体"/>
          <w:sz w:val="24"/>
        </w:rPr>
      </w:pPr>
      <w:r>
        <w:rPr>
          <w:rFonts w:hint="eastAsia" w:ascii="宋体" w:hAnsi="宋体" w:cs="宋体"/>
          <w:sz w:val="24"/>
        </w:rPr>
        <w:t>2.2因业务需要，中国银联及其分公司根据甲方设置的分润相关参数，将甲方收单侧资金（包含收单收益、专业化服务机构服务费、商户资金等）中的专业化服务机构服务费直接对乙方进行划拨的，甲方不承担相关分润支付义务，乙方对此知晓且无异议。</w:t>
      </w:r>
    </w:p>
    <w:p w14:paraId="4DAC689D">
      <w:pPr>
        <w:spacing w:line="360" w:lineRule="auto"/>
        <w:ind w:firstLine="480" w:firstLineChars="200"/>
        <w:rPr>
          <w:rFonts w:ascii="宋体" w:hAnsi="宋体" w:cs="宋体"/>
          <w:sz w:val="24"/>
        </w:rPr>
      </w:pPr>
      <w:r>
        <w:rPr>
          <w:rFonts w:hint="eastAsia" w:ascii="宋体" w:hAnsi="宋体" w:cs="宋体"/>
          <w:sz w:val="24"/>
        </w:rPr>
        <w:t>3．系统服务费</w:t>
      </w:r>
    </w:p>
    <w:p w14:paraId="6A361D7C">
      <w:pPr>
        <w:spacing w:line="360" w:lineRule="auto"/>
        <w:ind w:firstLine="480" w:firstLineChars="200"/>
        <w:rPr>
          <w:rFonts w:ascii="宋体" w:hAnsi="宋体" w:cs="宋体"/>
          <w:sz w:val="24"/>
        </w:rPr>
      </w:pPr>
      <w:r>
        <w:rPr>
          <w:rFonts w:hint="eastAsia" w:ascii="宋体" w:hAnsi="宋体" w:cs="宋体"/>
          <w:sz w:val="24"/>
        </w:rPr>
        <w:t>甲乙双方根据本协议约定进行业务合作，乙方需在本协议生效后3个工作日内向甲方指定账户支付系统服务费</w:t>
      </w:r>
      <w:r>
        <w:rPr>
          <w:rFonts w:hint="eastAsia" w:ascii="宋体" w:hAnsi="宋体" w:cs="宋体"/>
          <w:sz w:val="24"/>
          <w:u w:val="single"/>
        </w:rPr>
        <w:t xml:space="preserve">  /   </w:t>
      </w:r>
      <w:r>
        <w:rPr>
          <w:rFonts w:hint="eastAsia" w:ascii="宋体" w:hAnsi="宋体" w:cs="宋体"/>
          <w:sz w:val="24"/>
        </w:rPr>
        <w:t>万元。乙方一旦完成该系统服务费的支付，支付后不可撤销，不因乙方任何原因或甲方在符合本协议约定的情况下采取任何措施而导致乙方有要求返还的权利。</w:t>
      </w:r>
    </w:p>
    <w:p w14:paraId="3915FEB5">
      <w:pPr>
        <w:spacing w:line="360" w:lineRule="auto"/>
        <w:ind w:firstLine="480" w:firstLineChars="200"/>
        <w:rPr>
          <w:rFonts w:ascii="宋体" w:hAnsi="宋体" w:cs="宋体"/>
          <w:sz w:val="24"/>
        </w:rPr>
      </w:pPr>
      <w:r>
        <w:rPr>
          <w:rFonts w:hint="eastAsia" w:ascii="宋体" w:hAnsi="宋体" w:cs="宋体"/>
          <w:sz w:val="24"/>
        </w:rPr>
        <w:t>4.特约商户交易资金清算</w:t>
      </w:r>
    </w:p>
    <w:p w14:paraId="1BD9255F">
      <w:pPr>
        <w:spacing w:line="360" w:lineRule="auto"/>
        <w:ind w:firstLine="480" w:firstLineChars="200"/>
        <w:rPr>
          <w:rFonts w:ascii="宋体" w:hAnsi="宋体" w:cs="宋体"/>
          <w:sz w:val="24"/>
        </w:rPr>
      </w:pPr>
      <w:r>
        <w:rPr>
          <w:rFonts w:hint="eastAsia" w:ascii="宋体" w:hAnsi="宋体" w:cs="宋体"/>
          <w:sz w:val="24"/>
        </w:rPr>
        <w:t>每日交易完成（以银联结账时点为准）甲方将于交易日的下一个工作日收到包括乙方拓展商户交易资金（扣除交易手续费后）在内的清算资金，甲方应在收到清算资金后的一个工作日内将乙方拓展商户应收取的交易资金划拨至乙方拓展商户指定的资金清算账户。</w:t>
      </w:r>
    </w:p>
    <w:p w14:paraId="747B6927">
      <w:pPr>
        <w:spacing w:line="360" w:lineRule="auto"/>
        <w:ind w:firstLine="480" w:firstLineChars="200"/>
        <w:rPr>
          <w:rFonts w:ascii="宋体" w:hAnsi="宋体" w:cs="宋体"/>
          <w:sz w:val="24"/>
        </w:rPr>
      </w:pPr>
      <w:r>
        <w:rPr>
          <w:rFonts w:hint="eastAsia" w:ascii="宋体" w:hAnsi="宋体" w:cs="宋体"/>
          <w:sz w:val="24"/>
        </w:rPr>
        <w:t>5.税务及发票</w:t>
      </w:r>
    </w:p>
    <w:p w14:paraId="4BB452B0">
      <w:pPr>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.1</w:t>
      </w:r>
      <w:r>
        <w:rPr>
          <w:rFonts w:hint="eastAsia" w:ascii="宋体" w:hAnsi="宋体" w:cs="宋体"/>
          <w:sz w:val="24"/>
        </w:rPr>
        <w:t>甲乙双方各自承担各自端的相关税额。合同所涉价款均为含税价格，乙方开具或提供的增值税专用发票价税合计金额应与甲方实际支付的价税合计款项相一致。</w:t>
      </w:r>
    </w:p>
    <w:p w14:paraId="5FD513A9">
      <w:pPr>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2若增值税专用发票不合格，乙方应在接到甲方通知后30日内重新开具或提供合格的增值税专用发票并送达甲方，乙方自行承担全部费用。如乙方不能提供或拒不提供的，甲方有权拒绝付款且不承担任何责任，乙方的各项合同义务仍应按合同约定履行。</w:t>
      </w:r>
    </w:p>
    <w:p w14:paraId="0C601F8D">
      <w:pPr>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3若乙方提供的增值税专用发票不合格导致未能通过税务部门认证，或虽通过税务部门认证，但因发票税率低于合同标的应征税率致使甲方减少抵扣或被税务机关以“失控发票”等事由追缴税款的，甲方有权解除合同，并要求乙方支付存在问题的发票中载明的含税总金额的10%作为违约金，并赔偿甲方全部经济损失。</w:t>
      </w:r>
    </w:p>
    <w:p w14:paraId="5EA71FF0">
      <w:pPr>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.4乙方提供的增值税专用发票不合格包括但不限于以下情况：开具发票种类错误，开具发票税率与合同标的应征税率不符，发票上的信息错误，因乙方或税务机关开具错误等原因造成发票认证失败等。</w:t>
      </w:r>
    </w:p>
    <w:p w14:paraId="4C813179">
      <w:pPr>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5乙方开具或提供的增值税专用发票在送达甲方前或送达后如发生丢失、灭失或被盗，乙方均应按税法规定向甲方提供加盖乙方发票专用章的有关丢失发票的记账联复印件，积极协助甲方办理有关的进项税额认证申报手续。否则，由此造成的经济损失，由乙方承担。</w:t>
      </w:r>
    </w:p>
    <w:p w14:paraId="1353CF65">
      <w:pPr>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.6因第三方传递原因导致甲方无法认证抵扣进项税的，乙方应全力协助甲方提供相关证据，以便甲方向主管税务机关申请抵扣进项税。否则，由此造成的经济损失，由乙方承担。</w:t>
      </w:r>
    </w:p>
    <w:p w14:paraId="11480067">
      <w:pPr>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7乙方提供虚假、作废等无效增值税专用发票或者违反国家法律、法规开具、提供发票的，乙方自行承担全部法律责任。同时，甲方有权要求乙方支付存在问题的发票中载明的含税总金额的10%作为违约金，并赔偿甲方全部经济损失。</w:t>
      </w:r>
    </w:p>
    <w:p w14:paraId="5E0F196D">
      <w:pPr>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.8在合同履行期间，如遇国家财税制度政策变更，双方同意根据变更后的制度政策调整本合同约定价格及发票开具要求。</w:t>
      </w:r>
    </w:p>
    <w:p w14:paraId="044F59B8">
      <w:pPr>
        <w:spacing w:line="360" w:lineRule="auto"/>
        <w:ind w:firstLine="480" w:firstLineChars="200"/>
        <w:rPr>
          <w:rFonts w:ascii="宋体" w:hAnsi="宋体" w:cs="宋体"/>
          <w:sz w:val="24"/>
        </w:rPr>
      </w:pPr>
      <w:r>
        <w:rPr>
          <w:rFonts w:hint="eastAsia" w:ascii="宋体" w:hAnsi="宋体" w:cs="宋体"/>
          <w:sz w:val="24"/>
        </w:rPr>
        <w:t>公司名称：新生支付有限公司</w:t>
      </w:r>
    </w:p>
    <w:p w14:paraId="7331A9A1">
      <w:pPr>
        <w:spacing w:line="360" w:lineRule="auto"/>
        <w:ind w:firstLine="480" w:firstLineChars="200"/>
        <w:rPr>
          <w:rFonts w:ascii="宋体" w:hAnsi="宋体" w:cs="宋体"/>
          <w:sz w:val="24"/>
        </w:rPr>
      </w:pPr>
      <w:r>
        <w:rPr>
          <w:rFonts w:hint="eastAsia" w:ascii="宋体" w:hAnsi="宋体" w:cs="宋体"/>
          <w:sz w:val="24"/>
        </w:rPr>
        <w:t>公司地址：海南省海口市美兰区国兴大道21号富力中心2801室</w:t>
      </w:r>
    </w:p>
    <w:p w14:paraId="534571C2">
      <w:pPr>
        <w:spacing w:line="360" w:lineRule="auto"/>
        <w:ind w:firstLine="480" w:firstLineChars="200"/>
        <w:rPr>
          <w:rFonts w:ascii="宋体" w:hAnsi="宋体" w:cs="宋体"/>
          <w:sz w:val="24"/>
        </w:rPr>
      </w:pPr>
      <w:r>
        <w:rPr>
          <w:rFonts w:hint="eastAsia" w:ascii="宋体" w:hAnsi="宋体" w:cs="宋体"/>
          <w:sz w:val="24"/>
        </w:rPr>
        <w:t>开户支行：交通银行海口大同支行</w:t>
      </w:r>
    </w:p>
    <w:p w14:paraId="2A2A0B73">
      <w:pPr>
        <w:spacing w:line="360" w:lineRule="auto"/>
        <w:ind w:firstLine="480" w:firstLineChars="200"/>
        <w:rPr>
          <w:rFonts w:ascii="宋体" w:hAnsi="宋体" w:cs="宋体"/>
          <w:sz w:val="24"/>
        </w:rPr>
      </w:pPr>
      <w:r>
        <w:rPr>
          <w:rFonts w:hint="eastAsia" w:ascii="宋体" w:hAnsi="宋体" w:cs="宋体"/>
          <w:sz w:val="24"/>
        </w:rPr>
        <w:t>电话：4000890098</w:t>
      </w:r>
    </w:p>
    <w:p w14:paraId="2A060ACD">
      <w:pPr>
        <w:spacing w:line="360" w:lineRule="auto"/>
        <w:ind w:firstLine="480" w:firstLineChars="200"/>
        <w:rPr>
          <w:rFonts w:ascii="宋体" w:hAnsi="宋体" w:cs="宋体"/>
          <w:sz w:val="24"/>
        </w:rPr>
      </w:pPr>
      <w:r>
        <w:rPr>
          <w:rFonts w:hint="eastAsia" w:ascii="宋体" w:hAnsi="宋体" w:cs="宋体"/>
          <w:sz w:val="24"/>
        </w:rPr>
        <w:t>银行账号：4616 0120 0018 1500 8420 4</w:t>
      </w:r>
    </w:p>
    <w:p w14:paraId="44D93403">
      <w:pPr>
        <w:spacing w:line="360" w:lineRule="auto"/>
        <w:ind w:firstLine="480" w:firstLineChars="200"/>
        <w:rPr>
          <w:rFonts w:ascii="宋体" w:hAnsi="宋体" w:cs="宋体"/>
          <w:sz w:val="24"/>
        </w:rPr>
      </w:pPr>
      <w:r>
        <w:rPr>
          <w:rFonts w:hint="eastAsia" w:ascii="宋体" w:hAnsi="宋体" w:cs="宋体"/>
          <w:sz w:val="24"/>
        </w:rPr>
        <w:t>纳税人识别号：91460000671060987F</w:t>
      </w:r>
    </w:p>
    <w:p w14:paraId="5BAD3340">
      <w:pPr>
        <w:spacing w:line="360" w:lineRule="auto"/>
        <w:ind w:firstLine="480" w:firstLineChars="200"/>
        <w:rPr>
          <w:rFonts w:ascii="宋体" w:hAnsi="宋体" w:cs="宋体"/>
          <w:sz w:val="24"/>
        </w:rPr>
      </w:pPr>
      <w:r>
        <w:rPr>
          <w:rFonts w:hint="eastAsia" w:ascii="宋体" w:hAnsi="宋体" w:cs="宋体"/>
          <w:sz w:val="24"/>
        </w:rPr>
        <w:t>发票类型：增值税专用发票</w:t>
      </w:r>
    </w:p>
    <w:p w14:paraId="1E940820">
      <w:pPr>
        <w:spacing w:line="360" w:lineRule="auto"/>
        <w:ind w:firstLine="480" w:firstLineChars="200"/>
        <w:rPr>
          <w:rFonts w:ascii="宋体" w:hAnsi="宋体" w:cs="宋体"/>
          <w:sz w:val="24"/>
        </w:rPr>
      </w:pPr>
      <w:r>
        <w:rPr>
          <w:rFonts w:hint="eastAsia" w:ascii="宋体" w:hAnsi="宋体" w:cs="宋体"/>
          <w:sz w:val="24"/>
        </w:rPr>
        <w:t>发票税率：6%</w:t>
      </w:r>
    </w:p>
    <w:p w14:paraId="3463CE84">
      <w:pPr>
        <w:spacing w:line="360" w:lineRule="auto"/>
        <w:ind w:firstLine="480" w:firstLineChars="200"/>
        <w:rPr>
          <w:rFonts w:ascii="宋体" w:hAnsi="宋体" w:cs="宋体"/>
          <w:sz w:val="24"/>
        </w:rPr>
      </w:pPr>
      <w:r>
        <w:rPr>
          <w:rFonts w:hint="eastAsia" w:ascii="宋体" w:hAnsi="宋体" w:cs="宋体"/>
          <w:sz w:val="24"/>
        </w:rPr>
        <w:t>发票内容：XXXX年XX月服务费</w:t>
      </w:r>
    </w:p>
    <w:p w14:paraId="35ABD92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基于市场变化及业务需要，如果甲方的合作成本发生变化，甲方有权单方调整服务费标准，并及时告知乙方，乙方</w:t>
      </w:r>
      <w:r>
        <w:rPr>
          <w:rFonts w:hint="eastAsia" w:ascii="宋体" w:hAnsi="宋体" w:cs="宋体"/>
          <w:color w:val="auto"/>
          <w:sz w:val="24"/>
          <w:highlight w:val="none"/>
          <w:lang w:eastAsia="zh-CN"/>
        </w:rPr>
        <w:t>同意</w:t>
      </w:r>
      <w:r>
        <w:rPr>
          <w:rFonts w:hint="eastAsia" w:ascii="宋体" w:hAnsi="宋体" w:cs="宋体"/>
          <w:color w:val="auto"/>
          <w:sz w:val="24"/>
          <w:highlight w:val="none"/>
        </w:rPr>
        <w:t>遵照执行。</w:t>
      </w:r>
    </w:p>
    <w:p w14:paraId="73F6655B">
      <w:pPr>
        <w:spacing w:line="360" w:lineRule="auto"/>
        <w:ind w:firstLine="482" w:firstLineChars="200"/>
        <w:rPr>
          <w:rFonts w:ascii="宋体" w:hAnsi="宋体" w:cs="宋体"/>
          <w:b/>
          <w:bCs/>
          <w:color w:val="auto"/>
          <w:sz w:val="24"/>
        </w:rPr>
      </w:pPr>
      <w:r>
        <w:rPr>
          <w:rFonts w:hint="eastAsia" w:ascii="宋体" w:hAnsi="宋体" w:cs="宋体"/>
          <w:b/>
          <w:bCs/>
          <w:color w:val="auto"/>
          <w:sz w:val="24"/>
        </w:rPr>
        <w:t>六、甲方权利义务</w:t>
      </w:r>
    </w:p>
    <w:p w14:paraId="4E9B583B">
      <w:pPr>
        <w:spacing w:line="360" w:lineRule="auto"/>
        <w:ind w:firstLine="480" w:firstLineChars="200"/>
        <w:rPr>
          <w:rFonts w:ascii="宋体" w:hAnsi="宋体" w:cs="宋体"/>
          <w:sz w:val="24"/>
        </w:rPr>
      </w:pPr>
      <w:r>
        <w:rPr>
          <w:rFonts w:hint="eastAsia" w:ascii="宋体" w:hAnsi="宋体" w:cs="宋体"/>
          <w:sz w:val="24"/>
        </w:rPr>
        <w:t>1、甲方负责制定合作业务的相关技术、业务和服务操作规范；负责交易资金和交易手续费的清算、差错处理等工作。</w:t>
      </w:r>
    </w:p>
    <w:p w14:paraId="3894B928">
      <w:pPr>
        <w:spacing w:line="360" w:lineRule="auto"/>
        <w:ind w:firstLine="480" w:firstLineChars="200"/>
        <w:rPr>
          <w:rFonts w:ascii="宋体" w:hAnsi="宋体" w:cs="宋体"/>
          <w:sz w:val="24"/>
        </w:rPr>
      </w:pPr>
      <w:r>
        <w:rPr>
          <w:rFonts w:hint="eastAsia" w:ascii="宋体" w:hAnsi="宋体" w:cs="宋体"/>
          <w:sz w:val="24"/>
        </w:rPr>
        <w:t>2、甲方应建立相应的客服及投诉处理机制，为乙方及乙方拓展的特约商户提供清算信息查询服务；及时受理持卡人、终端用户等咨询和投诉，并及时响应和处理，满足特约商户的服务需求；受理因甲方清算服务运转问题而出现的投诉并协助解决相应纠纷，但上述情况系由于乙方原因造成的除外。</w:t>
      </w:r>
    </w:p>
    <w:p w14:paraId="3C9018AF">
      <w:pPr>
        <w:spacing w:line="360" w:lineRule="auto"/>
        <w:ind w:firstLine="480" w:firstLineChars="200"/>
        <w:rPr>
          <w:rFonts w:ascii="宋体" w:hAnsi="宋体" w:cs="宋体"/>
          <w:sz w:val="24"/>
        </w:rPr>
      </w:pPr>
      <w:r>
        <w:rPr>
          <w:rFonts w:hint="eastAsia" w:ascii="宋体" w:hAnsi="宋体" w:cs="宋体"/>
          <w:sz w:val="24"/>
        </w:rPr>
        <w:t>3、开展合作前，甲方有权调阅乙方资料，开展现场检查或现场调研，并要求乙方对其提交材料内容的真实性负责。甲方应对申请材料的真实性、完整性、与原件的一致性进行审查，并留档备查。乙方若被纳入中国支付清算协会或中银联风险信息或黑名单，甲方应自动终止与其合作。</w:t>
      </w:r>
    </w:p>
    <w:p w14:paraId="7F0FD3A7">
      <w:pPr>
        <w:spacing w:line="360" w:lineRule="auto"/>
        <w:ind w:firstLine="480" w:firstLineChars="200"/>
        <w:rPr>
          <w:rFonts w:ascii="宋体" w:hAnsi="宋体" w:cs="宋体"/>
          <w:sz w:val="24"/>
        </w:rPr>
      </w:pPr>
      <w:r>
        <w:rPr>
          <w:rFonts w:hint="eastAsia" w:ascii="宋体" w:hAnsi="宋体" w:cs="宋体"/>
          <w:sz w:val="24"/>
        </w:rPr>
        <w:t>4、甲方有权根据自身业务管理需要设计相应的考核指标体系，对乙方的业务开展情况进行检查、考核和评价。</w:t>
      </w:r>
    </w:p>
    <w:p w14:paraId="1D37A4F5">
      <w:pPr>
        <w:spacing w:line="360" w:lineRule="auto"/>
        <w:ind w:firstLine="480" w:firstLineChars="200"/>
        <w:rPr>
          <w:rFonts w:ascii="宋体" w:hAnsi="宋体" w:cs="宋体"/>
          <w:sz w:val="24"/>
        </w:rPr>
      </w:pPr>
      <w:r>
        <w:rPr>
          <w:rFonts w:hint="eastAsia" w:ascii="宋体" w:hAnsi="宋体" w:cs="宋体"/>
          <w:sz w:val="24"/>
        </w:rPr>
        <w:t>5、甲方有权根据业务发展要求调整任务总数量、时间进度等工作计划。</w:t>
      </w:r>
    </w:p>
    <w:p w14:paraId="7AC00512">
      <w:pPr>
        <w:spacing w:line="360" w:lineRule="auto"/>
        <w:ind w:firstLine="480" w:firstLineChars="200"/>
        <w:rPr>
          <w:rFonts w:ascii="宋体" w:hAnsi="宋体" w:cs="宋体"/>
          <w:sz w:val="24"/>
        </w:rPr>
      </w:pPr>
      <w:r>
        <w:rPr>
          <w:rFonts w:hint="eastAsia" w:ascii="宋体" w:hAnsi="宋体" w:cs="宋体"/>
          <w:sz w:val="24"/>
        </w:rPr>
        <w:t>6、甲方有权要求乙方根据甲方的规定提交所推荐特约商户的信息及材料（包括但不限于营业执照、法定代表人或负责人身份证、结算账户等复印件、特约商户门店照片等资料），并进行确认，甲方具有最终审核权、签约权及开通权。</w:t>
      </w:r>
    </w:p>
    <w:p w14:paraId="338F7AFA">
      <w:pPr>
        <w:spacing w:line="360" w:lineRule="auto"/>
        <w:ind w:firstLine="480" w:firstLineChars="200"/>
        <w:rPr>
          <w:rFonts w:ascii="宋体" w:hAnsi="宋体" w:cs="宋体"/>
          <w:sz w:val="24"/>
        </w:rPr>
      </w:pPr>
      <w:r>
        <w:rPr>
          <w:rFonts w:hint="eastAsia" w:ascii="宋体" w:hAnsi="宋体" w:cs="宋体"/>
          <w:sz w:val="24"/>
        </w:rPr>
        <w:t>7、甲方有权对乙方推荐特约商户的过程进行监督，对违反金融制度和秩序的行为予以纠正，如情节严重，甲方有权责令乙方进行整改，或者终止合作。</w:t>
      </w:r>
    </w:p>
    <w:p w14:paraId="226D90FA">
      <w:pPr>
        <w:spacing w:line="360" w:lineRule="auto"/>
        <w:ind w:firstLine="480" w:firstLineChars="200"/>
        <w:rPr>
          <w:rFonts w:ascii="宋体" w:hAnsi="宋体" w:cs="宋体"/>
          <w:sz w:val="24"/>
        </w:rPr>
      </w:pPr>
      <w:r>
        <w:rPr>
          <w:rFonts w:hint="eastAsia" w:ascii="宋体" w:hAnsi="宋体" w:cs="宋体"/>
          <w:sz w:val="24"/>
        </w:rPr>
        <w:t>8、甲方有权要求乙方对特约商户、用户交易问题投诉配合处理，对服务投诉及时处理，并将处理结果及时反馈甲方。</w:t>
      </w:r>
    </w:p>
    <w:p w14:paraId="605F9D96">
      <w:pPr>
        <w:spacing w:line="360" w:lineRule="auto"/>
        <w:ind w:firstLine="480" w:firstLineChars="200"/>
        <w:rPr>
          <w:rFonts w:ascii="宋体" w:hAnsi="宋体" w:cs="宋体"/>
          <w:sz w:val="24"/>
        </w:rPr>
      </w:pPr>
      <w:r>
        <w:rPr>
          <w:rFonts w:hint="eastAsia" w:ascii="宋体" w:hAnsi="宋体" w:cs="宋体"/>
          <w:sz w:val="24"/>
        </w:rPr>
        <w:t>9、对于乙方所提供的服务，甲方有义务按照双方约定的标准、方式和时间支付服务费用。</w:t>
      </w:r>
    </w:p>
    <w:p w14:paraId="4F2D6A5E">
      <w:pPr>
        <w:spacing w:line="360" w:lineRule="auto"/>
        <w:ind w:firstLine="480" w:firstLineChars="200"/>
        <w:rPr>
          <w:rFonts w:ascii="宋体" w:hAnsi="宋体" w:cs="宋体"/>
          <w:sz w:val="24"/>
        </w:rPr>
      </w:pPr>
      <w:r>
        <w:rPr>
          <w:rFonts w:hint="eastAsia" w:ascii="宋体" w:hAnsi="宋体" w:cs="宋体"/>
          <w:sz w:val="24"/>
        </w:rPr>
        <w:t>10、甲方有义务协助乙方的市场营销及特约商户的拓展工作。</w:t>
      </w:r>
    </w:p>
    <w:p w14:paraId="1C56810D">
      <w:pPr>
        <w:spacing w:line="360" w:lineRule="auto"/>
        <w:ind w:firstLine="480" w:firstLineChars="200"/>
        <w:rPr>
          <w:rFonts w:ascii="宋体" w:hAnsi="宋体" w:cs="宋体"/>
          <w:sz w:val="24"/>
        </w:rPr>
      </w:pPr>
      <w:r>
        <w:rPr>
          <w:rFonts w:hint="eastAsia" w:ascii="宋体" w:hAnsi="宋体" w:cs="宋体"/>
          <w:sz w:val="24"/>
        </w:rPr>
        <w:t>11、在媒体（报纸、电台、电视台、宣传单页、网页等）上描述的与乙方公司名称、业务等有关的内容均需事先书面告知乙方，得到乙方的书面确认后方可实行，否则甲方不得在任何媒体描述与乙方公司名称、业务等有关的内容。</w:t>
      </w:r>
    </w:p>
    <w:p w14:paraId="3DA18E97">
      <w:pPr>
        <w:spacing w:line="360" w:lineRule="auto"/>
        <w:ind w:firstLine="480" w:firstLineChars="200"/>
        <w:rPr>
          <w:rFonts w:ascii="宋体" w:hAnsi="宋体" w:cs="宋体"/>
          <w:sz w:val="24"/>
        </w:rPr>
      </w:pPr>
      <w:r>
        <w:rPr>
          <w:rFonts w:hint="eastAsia" w:ascii="宋体" w:hAnsi="宋体" w:cs="宋体"/>
          <w:sz w:val="24"/>
        </w:rPr>
        <w:t>12、对乙方推荐的特约商户交易信息予以保密，甲方仅承担因违反上述保密义务而给乙方造成的实际直接经济损失。但不包括因甲方不能预见、无法控制的原因而造成任何损失。不得因与乙方合作而转移、减免乙方个人金融信息保护的义务。</w:t>
      </w:r>
    </w:p>
    <w:p w14:paraId="79E7F98A">
      <w:pPr>
        <w:spacing w:line="360" w:lineRule="auto"/>
        <w:ind w:firstLine="480" w:firstLineChars="200"/>
        <w:rPr>
          <w:rFonts w:ascii="宋体" w:hAnsi="宋体" w:cs="宋体"/>
          <w:sz w:val="24"/>
        </w:rPr>
      </w:pPr>
      <w:r>
        <w:rPr>
          <w:rFonts w:hint="eastAsia" w:ascii="宋体" w:hAnsi="宋体" w:cs="宋体"/>
          <w:sz w:val="24"/>
        </w:rPr>
        <w:t>13、甲方应当审查和评估乙方保护个人金融信息的能力，并采取必要措施确保信息安全。</w:t>
      </w:r>
    </w:p>
    <w:p w14:paraId="535D164C">
      <w:pPr>
        <w:spacing w:line="360" w:lineRule="auto"/>
        <w:ind w:firstLine="480" w:firstLineChars="200"/>
        <w:rPr>
          <w:rFonts w:ascii="宋体" w:hAnsi="宋体" w:cs="宋体"/>
          <w:sz w:val="24"/>
        </w:rPr>
      </w:pPr>
      <w:r>
        <w:rPr>
          <w:rFonts w:hint="eastAsia" w:ascii="宋体" w:hAnsi="宋体" w:cs="宋体"/>
          <w:sz w:val="24"/>
        </w:rPr>
        <w:t>14、甲方有权根据系统升级等需要暂时中止提供支付清算服务，应提前告知乙方，并预告恢复日期。甲方有权自行决定对支付清算服务平台的功能和服务进行改动和升级，但对改进服务事项，应提前告知乙方。告知方式包括但不限于通过邮件、甲方网站、微信公众号、短信、电话等。</w:t>
      </w:r>
    </w:p>
    <w:p w14:paraId="352D427E">
      <w:pPr>
        <w:spacing w:line="360" w:lineRule="auto"/>
        <w:ind w:firstLine="480" w:firstLineChars="200"/>
        <w:rPr>
          <w:rFonts w:ascii="宋体" w:hAnsi="宋体" w:cs="宋体"/>
          <w:sz w:val="24"/>
        </w:rPr>
      </w:pPr>
      <w:r>
        <w:rPr>
          <w:rFonts w:hint="eastAsia" w:ascii="宋体" w:hAnsi="宋体" w:cs="宋体"/>
          <w:sz w:val="24"/>
        </w:rPr>
        <w:t>15、乙方或乙方拓展的特约商户有下列情形之一的，甲方有权立即中止为乙方或乙方拓展的特约商户提供支付清算服务或立即终止本协议，甲方有权追偿因此导致的损失：</w:t>
      </w:r>
    </w:p>
    <w:p w14:paraId="245CB04B">
      <w:pPr>
        <w:spacing w:line="360" w:lineRule="auto"/>
        <w:ind w:firstLine="480" w:firstLineChars="200"/>
        <w:rPr>
          <w:rFonts w:ascii="宋体" w:hAnsi="宋体" w:cs="宋体"/>
          <w:sz w:val="24"/>
        </w:rPr>
      </w:pPr>
      <w:r>
        <w:rPr>
          <w:rFonts w:hint="eastAsia" w:ascii="宋体" w:hAnsi="宋体" w:cs="宋体"/>
          <w:sz w:val="24"/>
        </w:rPr>
        <w:t>（1）乙方或乙方拓展的特约商户单独或与他方串通盗窃、诈骗资金。</w:t>
      </w:r>
    </w:p>
    <w:p w14:paraId="12E402E4">
      <w:pPr>
        <w:spacing w:line="360" w:lineRule="auto"/>
        <w:ind w:firstLine="480" w:firstLineChars="200"/>
        <w:rPr>
          <w:rFonts w:ascii="宋体" w:hAnsi="宋体" w:cs="宋体"/>
          <w:sz w:val="24"/>
        </w:rPr>
      </w:pPr>
      <w:r>
        <w:rPr>
          <w:rFonts w:hint="eastAsia" w:ascii="宋体" w:hAnsi="宋体" w:cs="宋体"/>
          <w:sz w:val="24"/>
        </w:rPr>
        <w:t>（2）乙方提供的乙方或乙方拓展的特约商户的身份证明、企业登记资料、行政许可证、业务范围等与实际不符或为虚假的，乙方提供的有关文件、资料、凭证等是不真实、不准确、不完整和无效的，含有与事实不符的重大错误或遗漏任何重大事实；</w:t>
      </w:r>
    </w:p>
    <w:p w14:paraId="504FAFE8">
      <w:pPr>
        <w:spacing w:line="360" w:lineRule="auto"/>
        <w:ind w:firstLine="480" w:firstLineChars="200"/>
        <w:rPr>
          <w:rFonts w:ascii="宋体" w:hAnsi="宋体" w:cs="宋体"/>
          <w:sz w:val="24"/>
        </w:rPr>
      </w:pPr>
      <w:r>
        <w:rPr>
          <w:rFonts w:hint="eastAsia" w:ascii="宋体" w:hAnsi="宋体" w:cs="宋体"/>
          <w:sz w:val="24"/>
        </w:rPr>
        <w:t>（3）经甲方认定乙方拓展的特约商户交易中存在较多纠纷或较大风险。</w:t>
      </w:r>
    </w:p>
    <w:p w14:paraId="1C1C3146">
      <w:pPr>
        <w:spacing w:line="360" w:lineRule="auto"/>
        <w:ind w:firstLine="480" w:firstLineChars="200"/>
        <w:rPr>
          <w:rFonts w:ascii="宋体" w:hAnsi="宋体" w:cs="宋体"/>
          <w:sz w:val="24"/>
        </w:rPr>
      </w:pPr>
      <w:r>
        <w:rPr>
          <w:rFonts w:hint="eastAsia" w:ascii="宋体" w:hAnsi="宋体" w:cs="宋体"/>
          <w:sz w:val="24"/>
        </w:rPr>
        <w:t>（4）乙方未提供乙方及乙方拓展的特约商户真实有效的联系方式，或通过提供的联系方式无法取得联系，或无法及时（当日）得到反馈的。</w:t>
      </w:r>
    </w:p>
    <w:p w14:paraId="009B03AE">
      <w:pPr>
        <w:spacing w:line="360" w:lineRule="auto"/>
        <w:ind w:firstLine="480" w:firstLineChars="200"/>
        <w:rPr>
          <w:rFonts w:ascii="宋体" w:hAnsi="宋体" w:cs="宋体"/>
          <w:sz w:val="24"/>
        </w:rPr>
      </w:pPr>
      <w:r>
        <w:rPr>
          <w:rFonts w:hint="eastAsia" w:ascii="宋体" w:hAnsi="宋体" w:cs="宋体"/>
          <w:sz w:val="24"/>
        </w:rPr>
        <w:t>（5）司法机关、金融监管机构、发卡行、中国银联、甲方上级机构出具了要求中止或终止支付清算的书面通知，乙方或乙方拓展的特约商户受到有权机关的任何处分或处罚。</w:t>
      </w:r>
    </w:p>
    <w:p w14:paraId="55E8D4FE">
      <w:pPr>
        <w:spacing w:line="360" w:lineRule="auto"/>
        <w:ind w:firstLine="480" w:firstLineChars="200"/>
        <w:rPr>
          <w:rFonts w:ascii="宋体" w:hAnsi="宋体" w:cs="宋体"/>
          <w:sz w:val="24"/>
        </w:rPr>
      </w:pPr>
      <w:r>
        <w:rPr>
          <w:rFonts w:hint="eastAsia" w:ascii="宋体" w:hAnsi="宋体" w:cs="宋体"/>
          <w:sz w:val="24"/>
        </w:rPr>
        <w:t>（6）在本协议执行期间发生可能对乙方产生重大不利后果的诉讼、仲裁或刑事、行政处罚。</w:t>
      </w:r>
    </w:p>
    <w:p w14:paraId="6040099C">
      <w:pPr>
        <w:spacing w:line="360" w:lineRule="auto"/>
        <w:ind w:firstLine="480" w:firstLineChars="200"/>
        <w:rPr>
          <w:rFonts w:ascii="宋体" w:hAnsi="宋体" w:cs="宋体"/>
          <w:sz w:val="24"/>
        </w:rPr>
      </w:pPr>
      <w:r>
        <w:rPr>
          <w:rFonts w:hint="eastAsia" w:ascii="宋体" w:hAnsi="宋体" w:cs="宋体"/>
          <w:sz w:val="24"/>
        </w:rPr>
        <w:t>（7）未在经营活动中严格遵守国家各项法律法规，未严格按照乙方营业执照规定的或依法核定的经营范围开展各项业务。</w:t>
      </w:r>
    </w:p>
    <w:p w14:paraId="13BD9C36">
      <w:pPr>
        <w:spacing w:line="360" w:lineRule="auto"/>
        <w:ind w:firstLine="480" w:firstLineChars="200"/>
        <w:rPr>
          <w:rFonts w:ascii="宋体" w:hAnsi="宋体" w:cs="宋体"/>
          <w:sz w:val="24"/>
        </w:rPr>
      </w:pPr>
      <w:r>
        <w:rPr>
          <w:rFonts w:hint="eastAsia" w:ascii="宋体" w:hAnsi="宋体" w:cs="宋体"/>
          <w:sz w:val="24"/>
        </w:rPr>
        <w:t>（8）故意诋毁或损害甲方声誉的。</w:t>
      </w:r>
    </w:p>
    <w:p w14:paraId="6C1E84BA">
      <w:pPr>
        <w:spacing w:line="360" w:lineRule="auto"/>
        <w:ind w:firstLine="480" w:firstLineChars="200"/>
        <w:rPr>
          <w:rFonts w:ascii="宋体" w:hAnsi="宋体" w:cs="宋体"/>
          <w:sz w:val="24"/>
        </w:rPr>
      </w:pPr>
      <w:r>
        <w:rPr>
          <w:rFonts w:hint="eastAsia" w:ascii="宋体" w:hAnsi="宋体" w:cs="宋体"/>
          <w:sz w:val="24"/>
        </w:rPr>
        <w:t>（9）违反《互联网信息服务管理办法》第十五条规定的，具体内容如下：</w:t>
      </w:r>
    </w:p>
    <w:p w14:paraId="69D6CDDA">
      <w:pPr>
        <w:spacing w:line="360" w:lineRule="auto"/>
        <w:ind w:firstLine="480" w:firstLineChars="200"/>
        <w:rPr>
          <w:rFonts w:ascii="宋体" w:hAnsi="宋体" w:cs="宋体"/>
          <w:sz w:val="24"/>
        </w:rPr>
      </w:pPr>
      <w:r>
        <w:rPr>
          <w:rFonts w:hint="eastAsia" w:ascii="宋体" w:hAnsi="宋体" w:cs="宋体"/>
          <w:sz w:val="24"/>
        </w:rPr>
        <w:t>a.互联网信息服务提供者不得制作、复制、发布、传播含有下列内容的信息：</w:t>
      </w:r>
    </w:p>
    <w:p w14:paraId="70A40ED1">
      <w:pPr>
        <w:spacing w:line="360" w:lineRule="auto"/>
        <w:ind w:firstLine="480" w:firstLineChars="200"/>
        <w:rPr>
          <w:rFonts w:ascii="宋体" w:hAnsi="宋体" w:cs="宋体"/>
          <w:sz w:val="24"/>
        </w:rPr>
      </w:pPr>
      <w:r>
        <w:rPr>
          <w:rFonts w:hint="eastAsia" w:ascii="宋体" w:hAnsi="宋体" w:cs="宋体"/>
          <w:sz w:val="24"/>
        </w:rPr>
        <w:t>b.反对宪法所确定的基本原则的；</w:t>
      </w:r>
    </w:p>
    <w:p w14:paraId="60D953F9">
      <w:pPr>
        <w:spacing w:line="360" w:lineRule="auto"/>
        <w:ind w:firstLine="480" w:firstLineChars="200"/>
        <w:rPr>
          <w:rFonts w:ascii="宋体" w:hAnsi="宋体" w:cs="宋体"/>
          <w:sz w:val="24"/>
        </w:rPr>
      </w:pPr>
      <w:r>
        <w:rPr>
          <w:rFonts w:hint="eastAsia" w:ascii="宋体" w:hAnsi="宋体" w:cs="宋体"/>
          <w:sz w:val="24"/>
        </w:rPr>
        <w:t>c.危害国家安全，泄露国家秘密，颠覆国家政权，破坏国家统一的；</w:t>
      </w:r>
    </w:p>
    <w:p w14:paraId="0C774E9A">
      <w:pPr>
        <w:spacing w:line="360" w:lineRule="auto"/>
        <w:ind w:firstLine="480" w:firstLineChars="200"/>
        <w:rPr>
          <w:rFonts w:ascii="宋体" w:hAnsi="宋体" w:cs="宋体"/>
          <w:sz w:val="24"/>
        </w:rPr>
      </w:pPr>
      <w:r>
        <w:rPr>
          <w:rFonts w:hint="eastAsia" w:ascii="宋体" w:hAnsi="宋体" w:cs="宋体"/>
          <w:sz w:val="24"/>
        </w:rPr>
        <w:t>d.损害国家荣誉和利益的；</w:t>
      </w:r>
    </w:p>
    <w:p w14:paraId="580F26F0">
      <w:pPr>
        <w:spacing w:line="360" w:lineRule="auto"/>
        <w:ind w:firstLine="480" w:firstLineChars="200"/>
        <w:rPr>
          <w:rFonts w:ascii="宋体" w:hAnsi="宋体" w:cs="宋体"/>
          <w:sz w:val="24"/>
        </w:rPr>
      </w:pPr>
      <w:r>
        <w:rPr>
          <w:rFonts w:hint="eastAsia" w:ascii="宋体" w:hAnsi="宋体" w:cs="宋体"/>
          <w:sz w:val="24"/>
        </w:rPr>
        <w:t>e.煽动民族仇恨、民族歧视，破坏民族团结的；</w:t>
      </w:r>
    </w:p>
    <w:p w14:paraId="5855997B">
      <w:pPr>
        <w:spacing w:line="360" w:lineRule="auto"/>
        <w:ind w:firstLine="480" w:firstLineChars="200"/>
        <w:rPr>
          <w:rFonts w:ascii="宋体" w:hAnsi="宋体" w:cs="宋体"/>
          <w:sz w:val="24"/>
        </w:rPr>
      </w:pPr>
      <w:r>
        <w:rPr>
          <w:rFonts w:hint="eastAsia" w:ascii="宋体" w:hAnsi="宋体" w:cs="宋体"/>
          <w:sz w:val="24"/>
        </w:rPr>
        <w:t>f.破坏国家宗教政策，宣扬邪教和封建迷信的；</w:t>
      </w:r>
    </w:p>
    <w:p w14:paraId="66EDEAC8">
      <w:pPr>
        <w:spacing w:line="360" w:lineRule="auto"/>
        <w:ind w:firstLine="480" w:firstLineChars="200"/>
        <w:rPr>
          <w:rFonts w:ascii="宋体" w:hAnsi="宋体" w:cs="宋体"/>
          <w:sz w:val="24"/>
        </w:rPr>
      </w:pPr>
      <w:r>
        <w:rPr>
          <w:rFonts w:hint="eastAsia" w:ascii="宋体" w:hAnsi="宋体" w:cs="宋体"/>
          <w:sz w:val="24"/>
        </w:rPr>
        <w:t>g.散布谣言，扰乱社会秩序，破坏社会稳定的；</w:t>
      </w:r>
    </w:p>
    <w:p w14:paraId="5054F876">
      <w:pPr>
        <w:spacing w:line="360" w:lineRule="auto"/>
        <w:ind w:firstLine="480" w:firstLineChars="200"/>
        <w:rPr>
          <w:rFonts w:ascii="宋体" w:hAnsi="宋体" w:cs="宋体"/>
          <w:sz w:val="24"/>
        </w:rPr>
      </w:pPr>
      <w:r>
        <w:rPr>
          <w:rFonts w:hint="eastAsia" w:ascii="宋体" w:hAnsi="宋体" w:cs="宋体"/>
          <w:sz w:val="24"/>
        </w:rPr>
        <w:t>h.散布淫秽、色情、赌博、暴力、凶杀、恐怖或者教唆犯罪的；</w:t>
      </w:r>
    </w:p>
    <w:p w14:paraId="66CC9FBB">
      <w:pPr>
        <w:spacing w:line="360" w:lineRule="auto"/>
        <w:ind w:firstLine="480" w:firstLineChars="200"/>
        <w:rPr>
          <w:rFonts w:ascii="宋体" w:hAnsi="宋体" w:cs="宋体"/>
          <w:sz w:val="24"/>
        </w:rPr>
      </w:pPr>
      <w:r>
        <w:rPr>
          <w:rFonts w:hint="eastAsia" w:ascii="宋体" w:hAnsi="宋体" w:cs="宋体"/>
          <w:sz w:val="24"/>
        </w:rPr>
        <w:t>i.侮辱或者诽谤他人，侵害他人合法权益的；</w:t>
      </w:r>
    </w:p>
    <w:p w14:paraId="5318B31B">
      <w:pPr>
        <w:spacing w:line="360" w:lineRule="auto"/>
        <w:ind w:firstLine="480" w:firstLineChars="200"/>
        <w:rPr>
          <w:rFonts w:ascii="宋体" w:hAnsi="宋体" w:cs="宋体"/>
          <w:sz w:val="24"/>
        </w:rPr>
      </w:pPr>
      <w:r>
        <w:rPr>
          <w:rFonts w:hint="eastAsia" w:ascii="宋体" w:hAnsi="宋体" w:cs="宋体"/>
          <w:sz w:val="24"/>
        </w:rPr>
        <w:t>j.含有法律、行政法规禁止的其他内容的。</w:t>
      </w:r>
    </w:p>
    <w:p w14:paraId="759BFB68">
      <w:pPr>
        <w:spacing w:line="360" w:lineRule="auto"/>
        <w:ind w:firstLine="480" w:firstLineChars="200"/>
        <w:rPr>
          <w:rFonts w:ascii="宋体" w:hAnsi="宋体" w:cs="宋体"/>
          <w:sz w:val="24"/>
        </w:rPr>
      </w:pPr>
      <w:r>
        <w:rPr>
          <w:rFonts w:hint="eastAsia" w:ascii="宋体" w:hAnsi="宋体" w:cs="宋体"/>
          <w:sz w:val="24"/>
        </w:rPr>
        <w:t>（10）甲方有权在乙方因业务或联络方式变更、终止而未及时通知甲方的情况下中止本协议，并对用户提出的退款请求（在此款未结算给乙方的情况下）进行处理，将用户在乙方拓展的特约商户已支付成功的订单款项转回用户的支付银行卡或账户中。</w:t>
      </w:r>
    </w:p>
    <w:p w14:paraId="7C08B47F">
      <w:pPr>
        <w:spacing w:line="360" w:lineRule="auto"/>
        <w:ind w:firstLine="480" w:firstLineChars="200"/>
        <w:rPr>
          <w:rFonts w:ascii="宋体" w:hAnsi="宋体" w:cs="宋体"/>
          <w:sz w:val="24"/>
        </w:rPr>
      </w:pPr>
      <w:r>
        <w:rPr>
          <w:rFonts w:hint="eastAsia" w:ascii="宋体" w:hAnsi="宋体" w:cs="宋体"/>
          <w:sz w:val="24"/>
        </w:rPr>
        <w:t>（11）在本协议约定的区域外发展商户的。</w:t>
      </w:r>
    </w:p>
    <w:p w14:paraId="750165BE">
      <w:pPr>
        <w:spacing w:line="360" w:lineRule="auto"/>
        <w:ind w:firstLine="480" w:firstLineChars="200"/>
        <w:rPr>
          <w:rFonts w:ascii="宋体" w:hAnsi="宋体" w:cs="宋体"/>
          <w:sz w:val="24"/>
        </w:rPr>
      </w:pPr>
      <w:r>
        <w:rPr>
          <w:rFonts w:hint="eastAsia" w:ascii="宋体" w:hAnsi="宋体" w:cs="宋体"/>
          <w:sz w:val="24"/>
        </w:rPr>
        <w:t>16、甲方有权拒绝支付或向乙方或乙方拓展的特约商户追索其因违反国家法律法规或本协议约定而取得的有关款项。</w:t>
      </w:r>
    </w:p>
    <w:p w14:paraId="51A922BB">
      <w:pPr>
        <w:spacing w:line="360" w:lineRule="auto"/>
        <w:ind w:firstLine="480" w:firstLineChars="200"/>
        <w:rPr>
          <w:rFonts w:ascii="宋体" w:hAnsi="宋体" w:cs="宋体"/>
          <w:sz w:val="24"/>
        </w:rPr>
      </w:pPr>
      <w:r>
        <w:rPr>
          <w:rFonts w:hint="eastAsia" w:ascii="宋体" w:hAnsi="宋体" w:cs="宋体"/>
          <w:sz w:val="24"/>
        </w:rPr>
        <w:t>17、基于风险管理、运营管理或其他风险防控因素的考虑，甲方有权提前10个工作日以书面形式告知乙方暂停、中止或终止向乙方提供本协议项下的服务而无需承担任何法律责任。</w:t>
      </w:r>
    </w:p>
    <w:p w14:paraId="60A651BF">
      <w:pPr>
        <w:spacing w:line="360" w:lineRule="auto"/>
        <w:ind w:firstLine="480" w:firstLineChars="200"/>
        <w:rPr>
          <w:rFonts w:ascii="宋体" w:hAnsi="宋体" w:cs="宋体"/>
          <w:sz w:val="24"/>
        </w:rPr>
      </w:pPr>
      <w:r>
        <w:rPr>
          <w:rFonts w:hint="eastAsia" w:ascii="宋体" w:hAnsi="宋体" w:cs="宋体"/>
          <w:sz w:val="24"/>
        </w:rPr>
        <w:t>18、发生以下情形时，乙方同意并授权甲方从乙方相应账户或资金中直接扣取相当于甲方损失的金额或乙方应当缴纳的费用金额，乙方对此没有任何异议：</w:t>
      </w:r>
    </w:p>
    <w:p w14:paraId="679B0937">
      <w:pPr>
        <w:spacing w:line="360" w:lineRule="auto"/>
        <w:ind w:firstLine="480" w:firstLineChars="200"/>
        <w:rPr>
          <w:rFonts w:ascii="宋体" w:hAnsi="宋体" w:cs="宋体"/>
          <w:sz w:val="24"/>
        </w:rPr>
      </w:pPr>
      <w:r>
        <w:rPr>
          <w:rFonts w:hint="eastAsia" w:ascii="宋体" w:hAnsi="宋体" w:cs="宋体"/>
          <w:sz w:val="24"/>
        </w:rPr>
        <w:t>（1）因乙方未按本协议约定向甲方支付手续费或服务费的，甲方有权从乙方保证金账户或待结算资金中直接扣取相当于乙方应当缴纳的费用金额；</w:t>
      </w:r>
    </w:p>
    <w:p w14:paraId="41BD7459">
      <w:pPr>
        <w:spacing w:line="360" w:lineRule="auto"/>
        <w:ind w:firstLine="480" w:firstLineChars="200"/>
        <w:rPr>
          <w:rFonts w:ascii="宋体" w:hAnsi="宋体" w:cs="宋体"/>
          <w:sz w:val="24"/>
        </w:rPr>
      </w:pPr>
      <w:r>
        <w:rPr>
          <w:rFonts w:hint="eastAsia" w:ascii="宋体" w:hAnsi="宋体" w:cs="宋体"/>
          <w:sz w:val="24"/>
        </w:rPr>
        <w:t>（2）发生异常交易或发卡行/移动支付服务商提出拒绝付款交易（下称“拒付交易”）的，乙方应向甲方提供相关交易所涉的购货凭证、收/送货凭证或服务凭证以及证明该等交易真实、合法的其他相关凭证和甲方所需的其他文件资料。否则，甲方有权要求乙方退还上述拒付交易相应款项并承担由此引发的其他经济责任。如乙方未立即退还，甲方有权立即终止本协议并将相应资金从待结算资金中直接扣取，如因此给甲方造成损失的，乙方承担全额赔偿责任（包括但不限于诉讼费、律师费、违约金等债权追索费用）。</w:t>
      </w:r>
    </w:p>
    <w:p w14:paraId="1C254D5B">
      <w:pPr>
        <w:spacing w:line="360" w:lineRule="auto"/>
        <w:ind w:firstLine="480" w:firstLineChars="200"/>
        <w:rPr>
          <w:rFonts w:ascii="宋体" w:hAnsi="宋体" w:cs="宋体"/>
          <w:sz w:val="24"/>
        </w:rPr>
      </w:pPr>
      <w:r>
        <w:rPr>
          <w:rFonts w:hint="eastAsia" w:ascii="宋体" w:hAnsi="宋体" w:cs="宋体"/>
          <w:sz w:val="24"/>
        </w:rPr>
        <w:t>（3）因乙方、乙方拓展的特约商户违反本协议其他约定给甲方造成损失的，甲方有权从乙方保证金账户或待结算资金中直接扣取相当于甲方全部损失的相应金额，不足部分乙方应及时补足。</w:t>
      </w:r>
    </w:p>
    <w:p w14:paraId="74147B5E">
      <w:pPr>
        <w:spacing w:line="360" w:lineRule="auto"/>
        <w:ind w:firstLine="480" w:firstLineChars="200"/>
        <w:rPr>
          <w:rFonts w:ascii="宋体" w:hAnsi="宋体" w:cs="宋体"/>
          <w:sz w:val="24"/>
        </w:rPr>
      </w:pPr>
      <w:r>
        <w:rPr>
          <w:rFonts w:hint="eastAsia" w:ascii="宋体" w:hAnsi="宋体" w:cs="宋体"/>
          <w:sz w:val="24"/>
        </w:rPr>
        <w:t>（4）如乙方存在违规行为而给甲方造成资金损失、名誉损失等，乙方承担全额赔偿责任，甲方有权从乙方保证金账户或待结算资金中直接扣取相当于甲方全部损失的相应金额，不足部分乙方应及时补足。</w:t>
      </w:r>
    </w:p>
    <w:p w14:paraId="50CDBE02">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9</w:t>
      </w:r>
      <w:r>
        <w:rPr>
          <w:rFonts w:hint="eastAsia" w:ascii="宋体" w:hAnsi="宋体" w:cs="宋体"/>
          <w:sz w:val="24"/>
        </w:rPr>
        <w:t>、</w:t>
      </w:r>
      <w:r>
        <w:rPr>
          <w:rFonts w:ascii="宋体" w:hAnsi="宋体" w:cs="宋体"/>
          <w:sz w:val="24"/>
        </w:rPr>
        <w:t>发生以下情形时</w:t>
      </w:r>
      <w:r>
        <w:rPr>
          <w:rFonts w:hint="eastAsia" w:ascii="宋体" w:hAnsi="宋体" w:cs="宋体"/>
          <w:sz w:val="24"/>
        </w:rPr>
        <w:t>，</w:t>
      </w:r>
      <w:r>
        <w:rPr>
          <w:rFonts w:ascii="宋体" w:hAnsi="宋体" w:cs="宋体"/>
          <w:sz w:val="24"/>
        </w:rPr>
        <w:t>乙方及乙方</w:t>
      </w:r>
      <w:r>
        <w:rPr>
          <w:rFonts w:hint="eastAsia" w:ascii="宋体" w:hAnsi="宋体" w:cs="宋体"/>
          <w:sz w:val="24"/>
        </w:rPr>
        <w:t>拓展的特约</w:t>
      </w:r>
      <w:r>
        <w:rPr>
          <w:rFonts w:ascii="宋体" w:hAnsi="宋体" w:cs="宋体"/>
          <w:sz w:val="24"/>
        </w:rPr>
        <w:t>商户知悉</w:t>
      </w:r>
      <w:r>
        <w:rPr>
          <w:rFonts w:hint="eastAsia" w:ascii="宋体" w:hAnsi="宋体" w:cs="宋体"/>
          <w:sz w:val="24"/>
        </w:rPr>
        <w:t>，甲方具有对可疑交易、非法交易等风险交易或交易纠纷的独立判断权。出现以下情况，甲方有权对乙方拓展的特约商户采取冻结款项、关停等限制性措施，造成甲方损失的甲方有权向乙方及乙方拓展的特约商户追偿：</w:t>
      </w:r>
    </w:p>
    <w:p w14:paraId="7FFF2C1D">
      <w:pPr>
        <w:spacing w:line="360" w:lineRule="auto"/>
        <w:ind w:firstLine="480" w:firstLineChars="200"/>
        <w:rPr>
          <w:rFonts w:ascii="宋体" w:hAnsi="宋体" w:cs="宋体"/>
          <w:sz w:val="24"/>
        </w:rPr>
      </w:pPr>
      <w:r>
        <w:rPr>
          <w:rFonts w:hint="eastAsia" w:ascii="宋体" w:hAnsi="宋体" w:cs="宋体"/>
          <w:sz w:val="24"/>
        </w:rPr>
        <w:t>（1）甲方根据风险机制判断</w:t>
      </w:r>
      <w:r>
        <w:rPr>
          <w:rFonts w:ascii="宋体" w:hAnsi="宋体" w:cs="宋体"/>
          <w:sz w:val="24"/>
        </w:rPr>
        <w:t>乙方</w:t>
      </w:r>
      <w:r>
        <w:rPr>
          <w:rFonts w:hint="eastAsia" w:ascii="宋体" w:hAnsi="宋体" w:cs="宋体"/>
          <w:sz w:val="24"/>
        </w:rPr>
        <w:t>拓展的特约</w:t>
      </w:r>
      <w:r>
        <w:rPr>
          <w:rFonts w:ascii="宋体" w:hAnsi="宋体" w:cs="宋体"/>
          <w:sz w:val="24"/>
        </w:rPr>
        <w:t>商户</w:t>
      </w:r>
      <w:r>
        <w:rPr>
          <w:rFonts w:hint="eastAsia" w:ascii="宋体" w:hAnsi="宋体" w:cs="宋体"/>
          <w:sz w:val="24"/>
        </w:rPr>
        <w:t>存在可疑交易、非法交易等风险交易或交易纠纷的；</w:t>
      </w:r>
    </w:p>
    <w:p w14:paraId="7B4C491F">
      <w:pPr>
        <w:spacing w:line="360" w:lineRule="auto"/>
        <w:ind w:firstLine="480" w:firstLineChars="200"/>
        <w:rPr>
          <w:rFonts w:ascii="宋体" w:hAnsi="宋体" w:cs="宋体"/>
          <w:sz w:val="24"/>
        </w:rPr>
      </w:pPr>
      <w:r>
        <w:rPr>
          <w:rFonts w:hint="eastAsia" w:ascii="宋体" w:hAnsi="宋体" w:cs="宋体"/>
          <w:sz w:val="24"/>
        </w:rPr>
        <w:t>（2）甲方依有关单位合法指示要求中止</w:t>
      </w:r>
      <w:r>
        <w:rPr>
          <w:rFonts w:ascii="宋体" w:hAnsi="宋体" w:cs="宋体"/>
          <w:sz w:val="24"/>
        </w:rPr>
        <w:t>乙方</w:t>
      </w:r>
      <w:r>
        <w:rPr>
          <w:rFonts w:hint="eastAsia" w:ascii="宋体" w:hAnsi="宋体" w:cs="宋体"/>
          <w:sz w:val="24"/>
        </w:rPr>
        <w:t>拓展的特约</w:t>
      </w:r>
      <w:r>
        <w:rPr>
          <w:rFonts w:ascii="宋体" w:hAnsi="宋体" w:cs="宋体"/>
          <w:sz w:val="24"/>
        </w:rPr>
        <w:t>商户</w:t>
      </w:r>
      <w:r>
        <w:rPr>
          <w:rFonts w:hint="eastAsia" w:ascii="宋体" w:hAnsi="宋体" w:cs="宋体"/>
          <w:sz w:val="24"/>
        </w:rPr>
        <w:t>交易的；</w:t>
      </w:r>
    </w:p>
    <w:p w14:paraId="389E1C61">
      <w:pPr>
        <w:spacing w:line="360" w:lineRule="auto"/>
        <w:ind w:firstLine="480" w:firstLineChars="200"/>
        <w:rPr>
          <w:rFonts w:ascii="宋体" w:hAnsi="宋体" w:cs="宋体"/>
          <w:sz w:val="24"/>
        </w:rPr>
      </w:pPr>
      <w:r>
        <w:rPr>
          <w:rFonts w:hint="eastAsia" w:ascii="宋体" w:hAnsi="宋体" w:cs="宋体"/>
          <w:sz w:val="24"/>
        </w:rPr>
        <w:t>（3）甲方接到公安协查、税务协查、银联协查、监管部门调查及用户投诉的请求时，需要采取上述措施的；</w:t>
      </w:r>
    </w:p>
    <w:p w14:paraId="24B3814B">
      <w:pPr>
        <w:spacing w:line="360" w:lineRule="auto"/>
        <w:ind w:firstLine="480" w:firstLineChars="200"/>
        <w:rPr>
          <w:rFonts w:ascii="宋体" w:hAnsi="宋体" w:cs="宋体"/>
          <w:sz w:val="24"/>
        </w:rPr>
      </w:pPr>
      <w:r>
        <w:rPr>
          <w:rFonts w:hint="eastAsia" w:ascii="宋体" w:hAnsi="宋体" w:cs="宋体"/>
          <w:sz w:val="24"/>
        </w:rPr>
        <w:t>（4）甲方接到通道侧（包括但不限于微信、支付宝、银联等）提示</w:t>
      </w:r>
      <w:r>
        <w:rPr>
          <w:rFonts w:ascii="宋体" w:hAnsi="宋体" w:cs="宋体"/>
          <w:sz w:val="24"/>
        </w:rPr>
        <w:t>乙方</w:t>
      </w:r>
      <w:r>
        <w:rPr>
          <w:rFonts w:hint="eastAsia" w:ascii="宋体" w:hAnsi="宋体" w:cs="宋体"/>
          <w:sz w:val="24"/>
        </w:rPr>
        <w:t>拓展的特约</w:t>
      </w:r>
      <w:r>
        <w:rPr>
          <w:rFonts w:ascii="宋体" w:hAnsi="宋体" w:cs="宋体"/>
          <w:sz w:val="24"/>
        </w:rPr>
        <w:t>商户</w:t>
      </w:r>
      <w:r>
        <w:rPr>
          <w:rFonts w:hint="eastAsia" w:ascii="宋体" w:hAnsi="宋体" w:cs="宋体"/>
          <w:sz w:val="24"/>
        </w:rPr>
        <w:t>存在可疑交易、非法交易等风险交易或交易纠纷、盗用商户或服务商号等违规行为的，甲方根据风险机制判断后，需要采取上述措施的；</w:t>
      </w:r>
    </w:p>
    <w:p w14:paraId="1573DBBD">
      <w:pPr>
        <w:spacing w:line="360" w:lineRule="auto"/>
        <w:ind w:firstLine="480" w:firstLineChars="200"/>
        <w:rPr>
          <w:rFonts w:ascii="宋体" w:hAnsi="宋体" w:cs="宋体"/>
          <w:sz w:val="24"/>
        </w:rPr>
      </w:pPr>
      <w:r>
        <w:rPr>
          <w:rFonts w:hint="eastAsia" w:ascii="宋体" w:hAnsi="宋体" w:cs="宋体"/>
          <w:sz w:val="24"/>
        </w:rPr>
        <w:t>（5）其他甲方认为存在交易风险的情况。</w:t>
      </w:r>
    </w:p>
    <w:p w14:paraId="18C18BB3">
      <w:pPr>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0</w:t>
      </w:r>
      <w:r>
        <w:rPr>
          <w:rFonts w:hint="eastAsia" w:ascii="宋体" w:hAnsi="宋体" w:cs="宋体"/>
          <w:sz w:val="24"/>
        </w:rPr>
        <w:t>、</w:t>
      </w:r>
      <w:r>
        <w:rPr>
          <w:rFonts w:ascii="宋体" w:hAnsi="宋体" w:cs="宋体"/>
          <w:sz w:val="24"/>
        </w:rPr>
        <w:t>如甲方接到</w:t>
      </w:r>
      <w:r>
        <w:rPr>
          <w:rFonts w:hint="eastAsia" w:ascii="宋体" w:hAnsi="宋体" w:cs="宋体"/>
          <w:sz w:val="24"/>
        </w:rPr>
        <w:t>通道侧（包括但不限于微信、支付宝、银联等）提示乙方拓展的特约商户风险较高，甲方有权根据风险机制判断后，对乙方采取包括但不限于停止进件、停止分润、终止合作等限制性措施。</w:t>
      </w:r>
    </w:p>
    <w:p w14:paraId="5E625E21">
      <w:pPr>
        <w:spacing w:line="360" w:lineRule="auto"/>
        <w:ind w:firstLine="480" w:firstLineChars="200"/>
        <w:rPr>
          <w:rFonts w:hint="eastAsia" w:ascii="宋体" w:hAnsi="宋体" w:cs="宋体"/>
          <w:sz w:val="24"/>
        </w:rPr>
      </w:pPr>
      <w:r>
        <w:rPr>
          <w:rFonts w:ascii="宋体" w:hAnsi="宋体" w:cs="宋体"/>
          <w:sz w:val="24"/>
        </w:rPr>
        <w:t>21</w:t>
      </w:r>
      <w:r>
        <w:rPr>
          <w:rFonts w:hint="eastAsia" w:ascii="宋体" w:hAnsi="宋体" w:cs="宋体"/>
          <w:sz w:val="24"/>
        </w:rPr>
        <w:t>、甲方有权禁止乙方从事以下事项：违规从事收单核心业务；存储或泄露敏感信息；违规转包；违规宣传；违反协议争抢商户，利用对特约商户提供外包服务的便利条件，将甲方特约商户转移为自身收单商户，将甲方特约商户转移成为其他合作收单机构收单商户；违规改装支付受理终端；提供虚假商户信息；合谋欺诈等。如甲方发现乙方从事上述禁止事项，甲方有权根据风险机制判断后，对乙方采取包括但不限于停止进件、停止分润、终止合作等限制性措施。</w:t>
      </w:r>
    </w:p>
    <w:p w14:paraId="7EC203BB">
      <w:pPr>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甲方应要求乙方在本协议签订或实际开始后的30个自然日内向中国支付清算协会提出备案申请，若在约定期限内未向中国支付清算协会提出备案申请或中国支付清算协会不予备案情况下，甲方将自动终止与乙方的合作关系。</w:t>
      </w:r>
    </w:p>
    <w:p w14:paraId="741624C7">
      <w:pPr>
        <w:spacing w:line="360" w:lineRule="auto"/>
        <w:ind w:firstLine="480" w:firstLineChars="200"/>
        <w:rPr>
          <w:rFonts w:ascii="宋体" w:hAnsi="宋体" w:cs="宋体"/>
          <w:sz w:val="24"/>
        </w:rPr>
      </w:pPr>
      <w:r>
        <w:rPr>
          <w:rFonts w:ascii="宋体" w:hAnsi="宋体" w:cs="宋体"/>
          <w:sz w:val="24"/>
        </w:rPr>
        <w:t>23</w:t>
      </w:r>
      <w:r>
        <w:rPr>
          <w:rFonts w:hint="eastAsia" w:ascii="宋体" w:hAnsi="宋体" w:cs="宋体"/>
          <w:sz w:val="24"/>
        </w:rPr>
        <w:t>、由于乙方的过失，造成特约商户、发卡机构和用户资金损失的，如甲方进行先行赔付，甲方可再根据本协议对乙方进行追偿。</w:t>
      </w:r>
    </w:p>
    <w:p w14:paraId="108DCC46">
      <w:pPr>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sz w:val="24"/>
        </w:rPr>
        <w:t>、因乙方或乙方拓展的特约商户故意或过失原因产生的风险，并因此给甲方造成资金损失、监管处罚、违约损失等后果的，甲方有权在损失范围内扣减乙方分润，包括已发生尚未结算及未来发生的分润。如仍不能弥补甲方损失，甲方有权要求乙方补足剩余损失部分或返还已结算分润。</w:t>
      </w:r>
    </w:p>
    <w:p w14:paraId="2AE25526">
      <w:pPr>
        <w:spacing w:line="360" w:lineRule="auto"/>
        <w:ind w:firstLine="482" w:firstLineChars="200"/>
        <w:rPr>
          <w:rFonts w:ascii="宋体" w:hAnsi="宋体" w:cs="宋体"/>
          <w:b/>
          <w:bCs/>
          <w:sz w:val="24"/>
        </w:rPr>
      </w:pPr>
      <w:r>
        <w:rPr>
          <w:rFonts w:hint="eastAsia" w:ascii="宋体" w:hAnsi="宋体" w:cs="宋体"/>
          <w:b/>
          <w:bCs/>
          <w:sz w:val="24"/>
        </w:rPr>
        <w:t>七、乙方权利义务</w:t>
      </w:r>
    </w:p>
    <w:p w14:paraId="47E963BA">
      <w:pPr>
        <w:spacing w:line="360" w:lineRule="auto"/>
        <w:ind w:firstLine="480" w:firstLineChars="200"/>
        <w:rPr>
          <w:rFonts w:ascii="宋体" w:hAnsi="宋体" w:cs="宋体"/>
          <w:sz w:val="24"/>
        </w:rPr>
      </w:pPr>
      <w:r>
        <w:rPr>
          <w:rFonts w:hint="eastAsia" w:ascii="宋体" w:hAnsi="宋体" w:cs="宋体"/>
          <w:sz w:val="24"/>
        </w:rPr>
        <w:t>1、乙方作为甲方的签约外包服务机构，合作业务涉及实体特约商户服务时，可在_</w:t>
      </w:r>
      <w:r>
        <w:rPr>
          <w:rFonts w:hint="eastAsia" w:ascii="宋体" w:hAnsi="宋体" w:cs="宋体"/>
          <w:sz w:val="24"/>
          <w:u w:val="single"/>
        </w:rPr>
        <w:t>/</w:t>
      </w:r>
      <w:r>
        <w:rPr>
          <w:rFonts w:ascii="宋体" w:hAnsi="宋体" w:cs="宋体"/>
          <w:sz w:val="24"/>
          <w:u w:val="single"/>
        </w:rPr>
        <w:t xml:space="preserve">  </w:t>
      </w:r>
      <w:r>
        <w:rPr>
          <w:rFonts w:hint="eastAsia" w:ascii="宋体" w:hAnsi="宋体" w:cs="宋体"/>
          <w:sz w:val="24"/>
        </w:rPr>
        <w:t>地区开展业务，并至少以省域为单位在合作地区注册分公司（或办事处），设立固定的营业场所。</w:t>
      </w:r>
    </w:p>
    <w:p w14:paraId="5FA3B700">
      <w:pPr>
        <w:spacing w:line="360" w:lineRule="auto"/>
        <w:ind w:firstLine="480" w:firstLineChars="200"/>
        <w:rPr>
          <w:rFonts w:ascii="宋体" w:hAnsi="宋体" w:cs="宋体"/>
          <w:sz w:val="24"/>
        </w:rPr>
      </w:pPr>
      <w:r>
        <w:rPr>
          <w:rFonts w:hint="eastAsia" w:ascii="宋体" w:hAnsi="宋体" w:cs="宋体"/>
          <w:sz w:val="24"/>
        </w:rPr>
        <w:t>2、乙方应遵守国家法律法规、监管机构、行业自律公约、《银联卡业务运作规章》等相关规定，确保支付业务服务水平符合规范要求，承担因自身违反相关政策和规则产生的相应责任。</w:t>
      </w:r>
    </w:p>
    <w:p w14:paraId="26B07270">
      <w:pPr>
        <w:spacing w:line="360" w:lineRule="auto"/>
        <w:ind w:firstLine="480" w:firstLineChars="200"/>
        <w:rPr>
          <w:rFonts w:ascii="宋体" w:hAnsi="宋体" w:cs="宋体"/>
          <w:sz w:val="24"/>
        </w:rPr>
      </w:pPr>
      <w:r>
        <w:rPr>
          <w:rFonts w:hint="eastAsia" w:ascii="宋体" w:hAnsi="宋体" w:cs="宋体"/>
          <w:sz w:val="24"/>
        </w:rPr>
        <w:t>3、乙方应制定与合作业务相关的内控制度、操作规程、设备维护规定和服务方案，并送甲方备案。应配备能满足业务需要的足够数量专业化人员履行与甲方约定的合作事项，并向甲方提供业务合作工作进展情况。不得超出甲方授权的区域、业务范围开展业务活动。</w:t>
      </w:r>
    </w:p>
    <w:p w14:paraId="5A22FAB1">
      <w:pPr>
        <w:spacing w:line="360" w:lineRule="auto"/>
        <w:ind w:firstLine="480" w:firstLineChars="200"/>
        <w:rPr>
          <w:rFonts w:ascii="宋体" w:hAnsi="宋体" w:cs="宋体"/>
          <w:sz w:val="24"/>
        </w:rPr>
      </w:pPr>
      <w:r>
        <w:rPr>
          <w:rFonts w:hint="eastAsia" w:ascii="宋体" w:hAnsi="宋体" w:cs="宋体"/>
          <w:sz w:val="24"/>
        </w:rPr>
        <w:t>4、乙方应遵守甲方关于特约商户拓展的相关要求，包括应现场核实特约商户经营信息，特约商户提交的申请材料应真实、有效等。对所提交的特约商户资质资料及信息的准确性、真实性、完整性负责。如因特约商户信息的真实性、准确性、完整性有误或乙方错误操作等原因而造成甲方或用户损失的，由乙方承担责任。</w:t>
      </w:r>
    </w:p>
    <w:p w14:paraId="0AF8477F">
      <w:pPr>
        <w:spacing w:line="360" w:lineRule="auto"/>
        <w:ind w:firstLine="480" w:firstLineChars="200"/>
        <w:rPr>
          <w:rFonts w:ascii="宋体" w:hAnsi="宋体" w:cs="宋体"/>
          <w:sz w:val="24"/>
        </w:rPr>
      </w:pPr>
      <w:r>
        <w:rPr>
          <w:rFonts w:hint="eastAsia" w:ascii="宋体" w:hAnsi="宋体" w:cs="宋体"/>
          <w:sz w:val="24"/>
        </w:rPr>
        <w:t>5、乙方应保障客户（包括特约商户和用户，下同）信息安全，客户信息不安全或客户权利因乙方受到影响时，甲方有权随时终止合作协议。</w:t>
      </w:r>
    </w:p>
    <w:p w14:paraId="71DB9BE4">
      <w:pPr>
        <w:spacing w:line="360" w:lineRule="auto"/>
        <w:ind w:firstLine="480" w:firstLineChars="200"/>
        <w:rPr>
          <w:rFonts w:ascii="宋体" w:hAnsi="宋体" w:cs="宋体"/>
          <w:sz w:val="24"/>
        </w:rPr>
      </w:pPr>
      <w:r>
        <w:rPr>
          <w:rFonts w:hint="eastAsia" w:ascii="宋体" w:hAnsi="宋体" w:cs="宋体"/>
          <w:sz w:val="24"/>
        </w:rPr>
        <w:t>6、乙方保证乙方及其拓展的特约商户将甲方提供的支付服务严格按照其营业执照登记的范围开展业务，将“实物+实名”“机票与 3C”及“虚拟产品”业务分开使用而不得混用（其中，“实物+实名”，是指可由物流配送的实物商品，或购买时需记录和核实购买者真实身份的商品或服务；“机票与 3C”，是指机票、计算机、通讯产品、消费电子产品，“虚拟产品”是指，非实物且不记录购买者的真实身份，且无需物流运送的商品或服务）。如因乙方违反上述承诺所带来的损失和风险，均由乙方承担，包括但不限于：1）甲方有权随时终止为乙方提供本协议下的服务；2）如用户出现资金损失，乙方应承担相关赔偿责任。</w:t>
      </w:r>
    </w:p>
    <w:p w14:paraId="10F861FB">
      <w:pPr>
        <w:spacing w:line="360" w:lineRule="auto"/>
        <w:ind w:firstLine="480" w:firstLineChars="200"/>
        <w:rPr>
          <w:rFonts w:ascii="宋体" w:hAnsi="宋体" w:cs="宋体"/>
          <w:sz w:val="24"/>
        </w:rPr>
      </w:pPr>
      <w:r>
        <w:rPr>
          <w:rFonts w:hint="eastAsia" w:ascii="宋体" w:hAnsi="宋体" w:cs="宋体"/>
          <w:sz w:val="24"/>
        </w:rPr>
        <w:t>7、若乙方或乙方拓展的特约商户所售物品属于虚拟物品，甲方有权在日常管理中对此类特约商户给予限额管理（用户日支付限额不得高于甲方对虚拟类目额度限额）。</w:t>
      </w:r>
    </w:p>
    <w:p w14:paraId="23D3A03E">
      <w:pPr>
        <w:spacing w:line="360" w:lineRule="auto"/>
        <w:ind w:firstLine="480" w:firstLineChars="200"/>
        <w:rPr>
          <w:rFonts w:ascii="宋体" w:hAnsi="宋体" w:cs="宋体"/>
          <w:sz w:val="24"/>
        </w:rPr>
      </w:pPr>
      <w:r>
        <w:rPr>
          <w:rFonts w:hint="eastAsia" w:ascii="宋体" w:hAnsi="宋体" w:cs="宋体"/>
          <w:sz w:val="24"/>
        </w:rPr>
        <w:t>8、乙方保证自身及其拓展的特约商户不进行或协助用户进行信用卡套现、洗钱、交易分单等违法经营行为，不得出现虚假申请、侧录、恶意倒闭等严重风险行为，否则，甲方有权暂停、中止或终止提供本协议服务，并要求乙方承担甲方因此而遭受的全部损失。</w:t>
      </w:r>
    </w:p>
    <w:p w14:paraId="08B73DFF">
      <w:pPr>
        <w:spacing w:line="360" w:lineRule="auto"/>
        <w:ind w:firstLine="480" w:firstLineChars="200"/>
        <w:rPr>
          <w:rFonts w:ascii="宋体" w:hAnsi="宋体" w:cs="宋体"/>
          <w:sz w:val="24"/>
        </w:rPr>
      </w:pPr>
      <w:r>
        <w:rPr>
          <w:rFonts w:hint="eastAsia" w:ascii="宋体" w:hAnsi="宋体" w:cs="宋体"/>
          <w:sz w:val="24"/>
        </w:rPr>
        <w:t>10、乙方有权根据协议约定查询、下载、存档订单交易数据（交易数据不包含支付敏感信息），同时应尽严格保密义务。</w:t>
      </w:r>
    </w:p>
    <w:p w14:paraId="78D22072">
      <w:pPr>
        <w:spacing w:line="360" w:lineRule="auto"/>
        <w:ind w:firstLine="480" w:firstLineChars="200"/>
        <w:rPr>
          <w:rFonts w:ascii="宋体" w:hAnsi="宋体" w:cs="宋体"/>
          <w:sz w:val="24"/>
        </w:rPr>
      </w:pPr>
      <w:r>
        <w:rPr>
          <w:rFonts w:hint="eastAsia" w:ascii="宋体" w:hAnsi="宋体" w:cs="宋体"/>
          <w:sz w:val="24"/>
        </w:rPr>
        <w:t>11、乙方在使用甲方提供的支付清算服务平台过程中，发现任何故障或其他不能正常使用的情况，可以致电甲方要求修复。除发生不可抗力或其他甲方无法预见、不能控制的情况外，甲方在收到乙方通知后应及时进行修复以恢复正常服务功能，尽最大限度减少对乙方业务活动造成的不利影响。</w:t>
      </w:r>
    </w:p>
    <w:p w14:paraId="3033BA30">
      <w:pPr>
        <w:spacing w:line="360" w:lineRule="auto"/>
        <w:ind w:firstLine="480" w:firstLineChars="200"/>
        <w:rPr>
          <w:rFonts w:ascii="宋体" w:hAnsi="宋体" w:cs="宋体"/>
          <w:sz w:val="24"/>
        </w:rPr>
      </w:pPr>
      <w:r>
        <w:rPr>
          <w:rFonts w:hint="eastAsia" w:ascii="宋体" w:hAnsi="宋体" w:cs="宋体"/>
          <w:sz w:val="24"/>
        </w:rPr>
        <w:t>12、乙方应及时自行处理乙方、乙方拓展的特约商户商业活动中的各项纠纷,如：佣金纠纷、客户的消费投诉，货物品质、价格及售后服务纠纷等。乙方及乙方拓展的特约商户如遇迁址、停业、域名或联系电话等资料信息变更，应由乙方提前书面通知甲方，若由于乙方未及时通知甲方导致的一切投诉和纠纷，均由乙方负责处理并自行承担全部后果。由于乙方原因造成乙方所提供服务引起的一切客户投诉或引起的法律及经济责任，均由乙方自行负责或追究有关方面的责任，与甲方无关。</w:t>
      </w:r>
    </w:p>
    <w:p w14:paraId="4B7A982E">
      <w:pPr>
        <w:spacing w:line="360" w:lineRule="auto"/>
        <w:ind w:firstLine="480" w:firstLineChars="200"/>
        <w:rPr>
          <w:rFonts w:ascii="宋体" w:hAnsi="宋体" w:cs="宋体"/>
          <w:sz w:val="24"/>
        </w:rPr>
      </w:pPr>
      <w:r>
        <w:rPr>
          <w:rFonts w:hint="eastAsia" w:ascii="宋体" w:hAnsi="宋体" w:cs="宋体"/>
          <w:sz w:val="24"/>
        </w:rPr>
        <w:t>13、乙方及乙方拓展的特约商户未经甲方许可不得将甲方及相关移动支付服务商方（包括但不仅限于甲方及甲方的相关移动支付服务商，如支付宝、微信等）的服务电话或者电子邮箱作为乙方及其拓展特约商户的服务电话或者电子邮箱刊登在其网站上，一经发现甲方有权要求予以整改，乙方拒不整改的，甲方有权终止向乙方提供本合同项下的服务，且无需承担任何责任，乙方商户拒不整改的，甲方有权要求乙方终止向乙方商户提供本合同项下的服务，且无需承担责任。</w:t>
      </w:r>
    </w:p>
    <w:p w14:paraId="392D0742">
      <w:pPr>
        <w:spacing w:line="360" w:lineRule="auto"/>
        <w:ind w:firstLine="480" w:firstLineChars="200"/>
        <w:rPr>
          <w:rFonts w:ascii="宋体" w:hAnsi="宋体" w:cs="宋体"/>
          <w:sz w:val="24"/>
        </w:rPr>
      </w:pPr>
      <w:r>
        <w:rPr>
          <w:rFonts w:hint="eastAsia" w:ascii="宋体" w:hAnsi="宋体" w:cs="宋体"/>
          <w:sz w:val="24"/>
        </w:rPr>
        <w:t>14、乙方不得以甲方及移动支付服务商的名义向乙方拓展的特约商户或用户收取费用。乙方在商务拓展中以自己名义向乙方商户收取费用时，需参照甲方提供的费用标准向乙方商户收费，禁止恶意扰乱甲方产品市场价格。否则如乙方未按照该费用标准向甲方商户收费的，甲方有权要求乙方整改，并保留单方面终止本协议的权利。</w:t>
      </w:r>
    </w:p>
    <w:p w14:paraId="0F7C540F">
      <w:pPr>
        <w:spacing w:line="360" w:lineRule="auto"/>
        <w:ind w:firstLine="480" w:firstLineChars="200"/>
        <w:rPr>
          <w:rFonts w:ascii="宋体" w:hAnsi="宋体" w:cs="宋体"/>
          <w:sz w:val="24"/>
        </w:rPr>
      </w:pPr>
      <w:r>
        <w:rPr>
          <w:rFonts w:hint="eastAsia" w:ascii="宋体" w:hAnsi="宋体" w:cs="宋体"/>
          <w:sz w:val="24"/>
        </w:rPr>
        <w:t>15、如甲方发现乙方从事、存在下述事项，甲方有权根据风险机制判断后，对乙方采取包括但不限于停止进件、停止分润、终止合作等限制性措施，由此造成的损失和风险责任由乙方承担：</w:t>
      </w:r>
    </w:p>
    <w:p w14:paraId="2FB17833">
      <w:pPr>
        <w:spacing w:line="360" w:lineRule="auto"/>
        <w:ind w:firstLine="480" w:firstLineChars="200"/>
        <w:rPr>
          <w:rFonts w:ascii="宋体" w:hAnsi="宋体" w:cs="宋体"/>
          <w:sz w:val="24"/>
        </w:rPr>
      </w:pPr>
      <w:r>
        <w:rPr>
          <w:rFonts w:hint="eastAsia" w:ascii="宋体" w:hAnsi="宋体" w:cs="宋体"/>
          <w:sz w:val="24"/>
        </w:rPr>
        <w:t>（1）违规从事收单核心业务：包括但不限于特约商户资质审核、受理协议签订、收单业务交易处理、资金处理、风险监测、支付受理终端或网络支付接口主密钥生成和管理、差错和争议处理工作等；</w:t>
      </w:r>
    </w:p>
    <w:p w14:paraId="465D1192">
      <w:pPr>
        <w:spacing w:line="360" w:lineRule="auto"/>
        <w:ind w:firstLine="480" w:firstLineChars="200"/>
        <w:rPr>
          <w:rFonts w:ascii="宋体" w:hAnsi="宋体" w:cs="宋体"/>
          <w:sz w:val="24"/>
        </w:rPr>
      </w:pPr>
      <w:r>
        <w:rPr>
          <w:rFonts w:hint="eastAsia" w:ascii="宋体" w:hAnsi="宋体" w:cs="宋体"/>
          <w:sz w:val="24"/>
        </w:rPr>
        <w:t>（2）存储或泄露敏感信息：以任何形式存储、盗取、泄露或买卖银行卡/支付账户敏感信息及客户身份、交易信息，敏感信息包括但不限于卡片有效期、磁道信息（含芯片等效磁道信息）、卡片验证（CVN及CVN2）、个人标识代码（PIN）、银行卡密码、网络支付密码、预付卡支付密码以及用于身份鉴别的个人生物特征等信息；</w:t>
      </w:r>
    </w:p>
    <w:p w14:paraId="7B77EE18">
      <w:pPr>
        <w:spacing w:line="360" w:lineRule="auto"/>
        <w:ind w:firstLine="480" w:firstLineChars="200"/>
        <w:rPr>
          <w:rFonts w:ascii="宋体" w:hAnsi="宋体" w:cs="宋体"/>
          <w:sz w:val="24"/>
        </w:rPr>
      </w:pPr>
      <w:r>
        <w:rPr>
          <w:rFonts w:hint="eastAsia" w:ascii="宋体" w:hAnsi="宋体" w:cs="宋体"/>
          <w:sz w:val="24"/>
        </w:rPr>
        <w:t>（3）违规转包：将甲方委托的外包业务进行转包、转让、分包的；将特约商户结算资金通过其他方式进行二次清算；</w:t>
      </w:r>
    </w:p>
    <w:p w14:paraId="42F609AD">
      <w:pPr>
        <w:spacing w:line="360" w:lineRule="auto"/>
        <w:ind w:firstLine="480" w:firstLineChars="200"/>
        <w:rPr>
          <w:rFonts w:ascii="宋体" w:hAnsi="宋体" w:cs="宋体"/>
          <w:sz w:val="24"/>
        </w:rPr>
      </w:pPr>
      <w:r>
        <w:rPr>
          <w:rFonts w:hint="eastAsia" w:ascii="宋体" w:hAnsi="宋体" w:cs="宋体"/>
          <w:sz w:val="24"/>
        </w:rPr>
        <w:t>（4）存在违规行为：因违规经营，被监管机构罚款、勒令整改、停业整顿或做出其他行政处罚决定的；</w:t>
      </w:r>
    </w:p>
    <w:p w14:paraId="73DE0E88">
      <w:pPr>
        <w:spacing w:line="360" w:lineRule="auto"/>
        <w:ind w:firstLine="480" w:firstLineChars="200"/>
        <w:rPr>
          <w:rFonts w:ascii="宋体" w:hAnsi="宋体" w:cs="宋体"/>
          <w:sz w:val="24"/>
        </w:rPr>
      </w:pPr>
      <w:r>
        <w:rPr>
          <w:rFonts w:hint="eastAsia" w:ascii="宋体" w:hAnsi="宋体" w:cs="宋体"/>
          <w:sz w:val="24"/>
        </w:rPr>
        <w:t>（5）存在犯罪行为：企业或法定代表人被司法机关认定存在犯罪行为的；</w:t>
      </w:r>
    </w:p>
    <w:p w14:paraId="28E06BB2">
      <w:pPr>
        <w:spacing w:line="360" w:lineRule="auto"/>
        <w:ind w:firstLine="480" w:firstLineChars="200"/>
        <w:rPr>
          <w:rFonts w:ascii="宋体" w:hAnsi="宋体" w:cs="宋体"/>
          <w:sz w:val="24"/>
        </w:rPr>
      </w:pPr>
      <w:r>
        <w:rPr>
          <w:rFonts w:hint="eastAsia" w:ascii="宋体" w:hAnsi="宋体" w:cs="宋体"/>
          <w:sz w:val="24"/>
        </w:rPr>
        <w:t>（6）违反协议争抢商户：违反与甲方的协议约定，利用对特约商户提供外包服务的便利条件，将甲方特约商户转移为自身收单商户的；或将甲方特约商户转移成为其他合作收单机构收单商户的；</w:t>
      </w:r>
    </w:p>
    <w:p w14:paraId="449061E8">
      <w:pPr>
        <w:spacing w:line="360" w:lineRule="auto"/>
        <w:ind w:firstLine="480" w:firstLineChars="200"/>
        <w:rPr>
          <w:rFonts w:ascii="宋体" w:hAnsi="宋体" w:cs="宋体"/>
          <w:sz w:val="24"/>
        </w:rPr>
      </w:pPr>
      <w:r>
        <w:rPr>
          <w:rFonts w:hint="eastAsia" w:ascii="宋体" w:hAnsi="宋体" w:cs="宋体"/>
          <w:sz w:val="24"/>
        </w:rPr>
        <w:t>（7）违规改装支付受理终端；在未获得甲方同意下，擅自改装支付受理终端软硬件设置，包括切机、加装侧录设备等行为的；自主设置交易路由或加载未经甲方同意的程序，改造已经甲方同意的程序；开展银行卡信息交换业务；</w:t>
      </w:r>
    </w:p>
    <w:p w14:paraId="7208DDBD">
      <w:pPr>
        <w:spacing w:line="360" w:lineRule="auto"/>
        <w:ind w:firstLine="480" w:firstLineChars="200"/>
        <w:rPr>
          <w:rFonts w:ascii="宋体" w:hAnsi="宋体" w:cs="宋体"/>
          <w:sz w:val="24"/>
        </w:rPr>
      </w:pPr>
      <w:r>
        <w:rPr>
          <w:rFonts w:hint="eastAsia" w:ascii="宋体" w:hAnsi="宋体" w:cs="宋体"/>
          <w:sz w:val="24"/>
        </w:rPr>
        <w:t>（8）虚假申请：提供虚假材料，骗取甲方合作资格的；</w:t>
      </w:r>
    </w:p>
    <w:p w14:paraId="592FA168">
      <w:pPr>
        <w:spacing w:line="360" w:lineRule="auto"/>
        <w:ind w:firstLine="480" w:firstLineChars="200"/>
        <w:rPr>
          <w:rFonts w:ascii="宋体" w:hAnsi="宋体" w:cs="宋体"/>
          <w:sz w:val="24"/>
        </w:rPr>
      </w:pPr>
      <w:r>
        <w:rPr>
          <w:rFonts w:hint="eastAsia" w:ascii="宋体" w:hAnsi="宋体" w:cs="宋体"/>
          <w:sz w:val="24"/>
        </w:rPr>
        <w:t>（9）提供虚假特约商户信息：提供虚假特约商户信息、推荐虚假或违法特约商户的，或协助特约商户以虚假材料申请入网；</w:t>
      </w:r>
    </w:p>
    <w:p w14:paraId="3EDA720E">
      <w:pPr>
        <w:spacing w:line="360" w:lineRule="auto"/>
        <w:ind w:firstLine="480" w:firstLineChars="200"/>
        <w:rPr>
          <w:rFonts w:ascii="宋体" w:hAnsi="宋体" w:cs="宋体"/>
          <w:color w:val="000000"/>
          <w:kern w:val="0"/>
          <w:sz w:val="24"/>
        </w:rPr>
      </w:pPr>
      <w:r>
        <w:rPr>
          <w:rFonts w:hint="eastAsia" w:ascii="宋体" w:hAnsi="宋体" w:cs="宋体"/>
          <w:sz w:val="24"/>
        </w:rPr>
        <w:t>（10）合谋欺诈：与特约商户等勾结</w:t>
      </w:r>
      <w:r>
        <w:rPr>
          <w:rFonts w:hint="eastAsia" w:ascii="宋体" w:hAnsi="宋体" w:cs="宋体"/>
          <w:color w:val="000000"/>
          <w:kern w:val="0"/>
          <w:sz w:val="24"/>
        </w:rPr>
        <w:t>进行如虚假伪冒申请、伪卡盗刷、套现、套利、侧录、洗钱、分单、虚假交易等活动；</w:t>
      </w:r>
    </w:p>
    <w:p w14:paraId="7D88922B">
      <w:pPr>
        <w:spacing w:line="360" w:lineRule="auto"/>
        <w:ind w:firstLine="480" w:firstLineChars="200"/>
        <w:rPr>
          <w:rFonts w:ascii="宋体" w:hAnsi="宋体" w:cs="宋体"/>
          <w:sz w:val="24"/>
        </w:rPr>
      </w:pPr>
      <w:r>
        <w:rPr>
          <w:rFonts w:hint="eastAsia" w:ascii="宋体" w:hAnsi="宋体" w:cs="宋体"/>
          <w:sz w:val="24"/>
        </w:rPr>
        <w:t>（11）侵犯甲方、中国银联和移动支付服务方等合作机构权益；发生侵犯甲方、中国银联和移动支付服务方等合作机构权益的行为；</w:t>
      </w:r>
    </w:p>
    <w:p w14:paraId="7B5C87CF">
      <w:pPr>
        <w:spacing w:line="360" w:lineRule="auto"/>
        <w:ind w:firstLine="480" w:firstLineChars="200"/>
        <w:rPr>
          <w:rFonts w:ascii="宋体" w:hAnsi="宋体" w:cs="宋体"/>
          <w:sz w:val="24"/>
        </w:rPr>
      </w:pPr>
      <w:r>
        <w:rPr>
          <w:rFonts w:hint="eastAsia" w:ascii="宋体" w:hAnsi="宋体" w:cs="宋体"/>
          <w:sz w:val="24"/>
        </w:rPr>
        <w:t>（12）以特约商户名义入网，以大商户身份接入甲方并下挂多个二级商户；</w:t>
      </w:r>
    </w:p>
    <w:p w14:paraId="27D30AB5">
      <w:pPr>
        <w:spacing w:line="360" w:lineRule="auto"/>
        <w:ind w:firstLine="480" w:firstLineChars="200"/>
        <w:rPr>
          <w:rFonts w:ascii="宋体" w:hAnsi="宋体" w:cs="宋体"/>
          <w:sz w:val="24"/>
        </w:rPr>
      </w:pPr>
      <w:r>
        <w:rPr>
          <w:rFonts w:hint="eastAsia" w:ascii="宋体" w:hAnsi="宋体" w:cs="宋体"/>
          <w:sz w:val="24"/>
        </w:rPr>
        <w:t>（13）自行编制、篡改、仿冒或重组交易报文等方式隐匿、歪曲真实交易，以套用、变造与真实特约商户类型不符的特约商户编码等各类手段变相降低银行卡刷卡手续费率、恶意争抢商户；</w:t>
      </w:r>
    </w:p>
    <w:p w14:paraId="664E9AFE">
      <w:pPr>
        <w:spacing w:line="360" w:lineRule="auto"/>
        <w:ind w:firstLine="480" w:firstLineChars="200"/>
        <w:rPr>
          <w:rFonts w:ascii="宋体" w:hAnsi="宋体" w:cs="宋体"/>
          <w:sz w:val="24"/>
        </w:rPr>
      </w:pPr>
      <w:r>
        <w:rPr>
          <w:rFonts w:hint="eastAsia" w:ascii="宋体" w:hAnsi="宋体" w:cs="宋体"/>
          <w:sz w:val="24"/>
        </w:rPr>
        <w:t>（14）进行违法、违规等变相、虚假宣传；侵犯“银联”品牌权益、中国银联成员机构品牌权益及移动支付服务方品牌权益，冒用中国银联或移动支付服务方名义进行虚假宣传；捏造、散布谣言，损害竞争对手的商业信誉与商户信誉；冒用甲方名义开展业务活动；</w:t>
      </w:r>
    </w:p>
    <w:p w14:paraId="709CE8EC">
      <w:pPr>
        <w:spacing w:line="360" w:lineRule="auto"/>
        <w:ind w:firstLine="480" w:firstLineChars="200"/>
        <w:rPr>
          <w:rFonts w:ascii="宋体" w:hAnsi="宋体" w:cs="宋体"/>
          <w:sz w:val="24"/>
        </w:rPr>
      </w:pPr>
      <w:r>
        <w:rPr>
          <w:rFonts w:hint="eastAsia" w:ascii="宋体" w:hAnsi="宋体" w:cs="宋体"/>
          <w:sz w:val="24"/>
        </w:rPr>
        <w:t>（15）通过任何传播媒体、宣传工具或者方式发布销售银行卡受理终端、条码支付受理终端或者收款码的广告；在网上买卖POS机（包括MPOS）、刷卡器等受理终端。在业务推广中使用或者变相使用“零扣率”“抵扣率”“费率自由定义”“T+O”“D+O”“即时到账”“一机多商户”“刷单”“套现”“商户滚动切换”等规定禁止的宣传字样；</w:t>
      </w:r>
    </w:p>
    <w:p w14:paraId="4EA0A017">
      <w:pPr>
        <w:spacing w:line="360" w:lineRule="auto"/>
        <w:ind w:firstLine="480" w:firstLineChars="200"/>
        <w:rPr>
          <w:rFonts w:ascii="宋体" w:hAnsi="宋体" w:cs="宋体"/>
          <w:sz w:val="24"/>
        </w:rPr>
      </w:pPr>
      <w:r>
        <w:rPr>
          <w:rFonts w:hint="eastAsia" w:ascii="宋体" w:hAnsi="宋体" w:cs="宋体"/>
          <w:sz w:val="24"/>
        </w:rPr>
        <w:t>（16）参与互联网赌博、色情服务、互联网彩票销售、非法外汇业务、贵金属投资交易、非法证券期货类交易、代币发行融资及虚拟投资交易、跨境赌博、跨境移机、电信网络诈骗、洗钱等非法行为，未经监管部门批准通过互联网开展资产管理业务以及未经取得省级政府批文的大宗商品交易场所等非法交易。</w:t>
      </w:r>
    </w:p>
    <w:p w14:paraId="46296719">
      <w:pPr>
        <w:spacing w:line="360" w:lineRule="auto"/>
        <w:ind w:firstLine="480" w:firstLineChars="200"/>
        <w:rPr>
          <w:rFonts w:ascii="宋体" w:hAnsi="宋体" w:cs="宋体"/>
          <w:color w:val="000000"/>
          <w:kern w:val="0"/>
          <w:sz w:val="24"/>
        </w:rPr>
      </w:pPr>
      <w:r>
        <w:rPr>
          <w:rFonts w:hint="eastAsia" w:ascii="宋体" w:hAnsi="宋体" w:cs="宋体"/>
          <w:sz w:val="24"/>
        </w:rPr>
        <w:t>（17）为</w:t>
      </w:r>
      <w:r>
        <w:rPr>
          <w:rFonts w:hint="eastAsia" w:ascii="宋体" w:hAnsi="宋体" w:cs="宋体"/>
          <w:color w:val="000000"/>
          <w:kern w:val="0"/>
          <w:sz w:val="24"/>
        </w:rPr>
        <w:t>电信网络诈骗活动提供支持或帮助：出售、提供个人信息，帮助他人通过虚拟货币交易等方式洗钱，其他为电信网络诈骗活动提供支持或者帮助的行为；</w:t>
      </w:r>
    </w:p>
    <w:p w14:paraId="624D3AA5">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18</w:t>
      </w:r>
      <w:r>
        <w:rPr>
          <w:rFonts w:hint="eastAsia" w:ascii="宋体" w:hAnsi="宋体" w:cs="宋体"/>
          <w:color w:val="000000"/>
          <w:kern w:val="0"/>
          <w:sz w:val="24"/>
        </w:rPr>
        <w:t>）失联超过 90 个自然日的。失联是指根据乙方预留的联系方式不能与乙方取得联系，或在乙方登记的营业地址不能找到乙方的；</w:t>
      </w:r>
    </w:p>
    <w:p w14:paraId="5B063FA9">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19</w:t>
      </w:r>
      <w:r>
        <w:rPr>
          <w:rFonts w:hint="eastAsia" w:ascii="宋体" w:hAnsi="宋体" w:cs="宋体"/>
          <w:color w:val="000000"/>
          <w:kern w:val="0"/>
          <w:sz w:val="24"/>
        </w:rPr>
        <w:t>）采取不正当竞争手段盗取、转移甲方特约商户或受理终端；</w:t>
      </w:r>
    </w:p>
    <w:p w14:paraId="77BDE7F4">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r>
        <w:rPr>
          <w:rFonts w:hint="eastAsia" w:ascii="宋体" w:hAnsi="宋体" w:cs="宋体"/>
          <w:color w:val="000000"/>
          <w:kern w:val="0"/>
          <w:sz w:val="24"/>
        </w:rPr>
        <w:t>）因自身行为严重影响甲方声誉或给甲方造成重大经济损失；</w:t>
      </w:r>
    </w:p>
    <w:p w14:paraId="0616A8AA">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1</w:t>
      </w:r>
      <w:r>
        <w:rPr>
          <w:rFonts w:hint="eastAsia" w:ascii="宋体" w:hAnsi="宋体" w:cs="宋体"/>
          <w:color w:val="000000"/>
          <w:kern w:val="0"/>
          <w:sz w:val="24"/>
        </w:rPr>
        <w:t>）经营范围变更，经甲方确认已不适合开展外包业务；</w:t>
      </w:r>
    </w:p>
    <w:p w14:paraId="27A81CE3">
      <w:pPr>
        <w:pStyle w:val="7"/>
        <w:widowControl/>
        <w:kinsoku w:val="0"/>
        <w:autoSpaceDE w:val="0"/>
        <w:autoSpaceDN w:val="0"/>
        <w:adjustRightInd w:val="0"/>
        <w:snapToGrid w:val="0"/>
        <w:spacing w:before="1" w:line="360" w:lineRule="auto"/>
        <w:ind w:firstLine="480" w:firstLineChars="200"/>
        <w:jc w:val="left"/>
        <w:textAlignment w:val="baseline"/>
        <w:rPr>
          <w:rFonts w:ascii="宋体" w:hAnsi="宋体" w:cs="宋体"/>
          <w:color w:val="000000"/>
          <w:spacing w:val="-2"/>
          <w:kern w:val="0"/>
          <w:lang w:bidi="ar"/>
        </w:rPr>
      </w:pPr>
      <w:r>
        <w:rPr>
          <w:rFonts w:hint="eastAsia" w:ascii="宋体" w:hAnsi="宋体" w:cs="宋体"/>
          <w:color w:val="000000"/>
          <w:kern w:val="0"/>
        </w:rPr>
        <w:t>（2</w:t>
      </w:r>
      <w:r>
        <w:rPr>
          <w:rFonts w:ascii="宋体" w:hAnsi="宋体" w:cs="宋体"/>
          <w:color w:val="000000"/>
          <w:kern w:val="0"/>
        </w:rPr>
        <w:t>2</w:t>
      </w:r>
      <w:r>
        <w:rPr>
          <w:rFonts w:hint="eastAsia" w:ascii="宋体" w:hAnsi="宋体" w:cs="宋体"/>
          <w:color w:val="000000"/>
          <w:kern w:val="0"/>
        </w:rPr>
        <w:t>）</w:t>
      </w:r>
      <w:r>
        <w:rPr>
          <w:rFonts w:hint="eastAsia" w:ascii="宋体" w:hAnsi="宋体" w:cs="宋体"/>
          <w:color w:val="000000"/>
          <w:spacing w:val="1"/>
          <w:kern w:val="0"/>
          <w:lang w:bidi="ar"/>
        </w:rPr>
        <w:t>被监管部门终止业务运作或营业执照，</w:t>
      </w:r>
      <w:r>
        <w:rPr>
          <w:rFonts w:hint="eastAsia" w:ascii="宋体" w:hAnsi="宋体" w:cs="宋体"/>
          <w:color w:val="000000"/>
          <w:kern w:val="0"/>
          <w:lang w:bidi="ar"/>
        </w:rPr>
        <w:t>或被</w:t>
      </w:r>
      <w:r>
        <w:rPr>
          <w:rFonts w:hint="eastAsia" w:ascii="宋体" w:hAnsi="宋体" w:cs="宋体"/>
          <w:color w:val="000000"/>
          <w:spacing w:val="-2"/>
          <w:kern w:val="0"/>
          <w:lang w:bidi="ar"/>
        </w:rPr>
        <w:t>政府、司法机关列入破产清算；</w:t>
      </w:r>
    </w:p>
    <w:p w14:paraId="0CAA8ED0">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3</w:t>
      </w:r>
      <w:r>
        <w:rPr>
          <w:rFonts w:hint="eastAsia" w:ascii="宋体" w:hAnsi="宋体" w:cs="宋体"/>
          <w:color w:val="000000"/>
          <w:kern w:val="0"/>
          <w:sz w:val="24"/>
        </w:rPr>
        <w:t>）因乙方或乙方拓展的特约商户被投诉，甲方收到支付清算协会、清算机构、合作机构、监管机构等其他机构投诉举报通知，或甲方收到税务、工商、司法、公安、纪委等单位协助查询通知，经甲方分析判断后仍无法排除风险的；</w:t>
      </w:r>
    </w:p>
    <w:p w14:paraId="1117A2B7">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24</w:t>
      </w:r>
      <w:r>
        <w:rPr>
          <w:rFonts w:hint="eastAsia" w:ascii="宋体" w:hAnsi="宋体" w:cs="宋体"/>
          <w:sz w:val="24"/>
        </w:rPr>
        <w:t>）违反法律法规、监管规定、支付清算协议自律管理要求、银行卡清算机构规定的；</w:t>
      </w:r>
    </w:p>
    <w:p w14:paraId="1F551F82">
      <w:pPr>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5</w:t>
      </w:r>
      <w:r>
        <w:rPr>
          <w:rFonts w:hint="eastAsia" w:ascii="宋体" w:hAnsi="宋体" w:cs="宋体"/>
          <w:sz w:val="24"/>
        </w:rPr>
        <w:t>）涉嫌违法犯罪被追究刑事责任的。</w:t>
      </w:r>
    </w:p>
    <w:p w14:paraId="52C9F35D">
      <w:pPr>
        <w:spacing w:line="360" w:lineRule="auto"/>
        <w:ind w:firstLine="480" w:firstLineChars="200"/>
        <w:rPr>
          <w:rFonts w:ascii="宋体" w:hAnsi="宋体" w:cs="宋体"/>
          <w:sz w:val="24"/>
        </w:rPr>
      </w:pPr>
      <w:r>
        <w:rPr>
          <w:rFonts w:hint="eastAsia" w:ascii="宋体" w:hAnsi="宋体" w:cs="宋体"/>
          <w:sz w:val="24"/>
        </w:rPr>
        <w:t>16、乙方须在本协议签订或实际开始后的30个自然日内向中国支付清算协会提出备案申请，若在约定期限内未向中国支付清算协会提出备案申请或中国支付清算协会不予备案情况下，甲方将自动终止与乙方的合作关系。</w:t>
      </w:r>
    </w:p>
    <w:p w14:paraId="288A2010">
      <w:pPr>
        <w:spacing w:line="360" w:lineRule="auto"/>
        <w:ind w:firstLine="480" w:firstLineChars="200"/>
        <w:rPr>
          <w:rFonts w:ascii="宋体" w:hAnsi="宋体" w:cs="宋体"/>
          <w:sz w:val="24"/>
        </w:rPr>
      </w:pPr>
      <w:r>
        <w:rPr>
          <w:rFonts w:hint="eastAsia" w:ascii="宋体" w:hAnsi="宋体" w:cs="宋体"/>
          <w:sz w:val="24"/>
        </w:rPr>
        <w:t>17、乙方终止服务或业务发生变更，应提前1个月书面通知甲方，否则造成的全部损失由乙方自行承担。</w:t>
      </w:r>
    </w:p>
    <w:p w14:paraId="55FCC128">
      <w:pPr>
        <w:spacing w:line="360" w:lineRule="auto"/>
        <w:ind w:firstLine="480" w:firstLineChars="200"/>
        <w:rPr>
          <w:rFonts w:ascii="宋体" w:hAnsi="宋体" w:cs="宋体"/>
          <w:sz w:val="24"/>
        </w:rPr>
      </w:pPr>
      <w:r>
        <w:rPr>
          <w:rFonts w:hint="eastAsia" w:ascii="宋体" w:hAnsi="宋体" w:cs="宋体"/>
          <w:sz w:val="24"/>
        </w:rPr>
        <w:t>18、乙方开通相关支付服务后，不得通过转赠、租赁、复制等方式将该产品及服务提供给线下特约商户以外的其他特约商户，或将其用于线下支付场景以外的其他场景。如乙方确有需要向其他支付场景提供移动支付服务的须向甲方申请，并另行签订补充协议，方可施行。</w:t>
      </w:r>
    </w:p>
    <w:p w14:paraId="5C8AEFF9">
      <w:pPr>
        <w:spacing w:line="360" w:lineRule="auto"/>
        <w:ind w:firstLine="480" w:firstLineChars="200"/>
        <w:rPr>
          <w:rFonts w:ascii="宋体" w:hAnsi="宋体" w:cs="宋体"/>
          <w:sz w:val="24"/>
        </w:rPr>
      </w:pPr>
      <w:r>
        <w:rPr>
          <w:rFonts w:hint="eastAsia" w:ascii="宋体" w:hAnsi="宋体" w:cs="宋体"/>
          <w:sz w:val="24"/>
        </w:rPr>
        <w:t>19、乙方需对甲方提示的可疑交易开展风险排查，并需严格按照甲方要求的时限处理及反馈。对于乙方未及时处理的商户可疑交易，甲方有权对相关交易暂缓清算，直至乙方完成相关交易的风险排查，由此引起的一切损失及责任均由乙方承担。</w:t>
      </w:r>
    </w:p>
    <w:p w14:paraId="5925187E">
      <w:pPr>
        <w:spacing w:line="360" w:lineRule="auto"/>
        <w:ind w:firstLine="480" w:firstLineChars="200"/>
        <w:rPr>
          <w:rFonts w:ascii="宋体" w:hAnsi="宋体" w:cs="宋体"/>
          <w:sz w:val="24"/>
        </w:rPr>
      </w:pPr>
      <w:r>
        <w:rPr>
          <w:rFonts w:hint="eastAsia" w:ascii="宋体" w:hAnsi="宋体" w:cs="宋体"/>
          <w:sz w:val="24"/>
        </w:rPr>
        <w:t>20、对实体特约商户开展每半年不少于1次的培训和维护工作，并保留质量记录，培训资料需按商户或甲方的要求向特约商户提供，包括但不限于支付终端的使用培训、银行卡联网使用业务知识培训、风险防范知识及出现风险事件时特约商户应承担的责任、交易资金清算和差错、争议交易处理流程和要求等。乙方未按要求定期对特约商户进行培训的，甲方有权要求乙方进行整改。乙方承诺将承担因乙方推荐特约商户未按照银联标准操作支付业务造成用户退单及其他情形而使甲方遭受的损失。</w:t>
      </w:r>
    </w:p>
    <w:p w14:paraId="7F298F55">
      <w:pPr>
        <w:spacing w:line="360" w:lineRule="auto"/>
        <w:ind w:firstLine="480" w:firstLineChars="200"/>
        <w:rPr>
          <w:rFonts w:ascii="宋体" w:hAnsi="宋体" w:cs="宋体"/>
          <w:sz w:val="24"/>
        </w:rPr>
      </w:pPr>
      <w:r>
        <w:rPr>
          <w:rFonts w:hint="eastAsia" w:ascii="宋体" w:hAnsi="宋体" w:cs="宋体"/>
          <w:sz w:val="24"/>
        </w:rPr>
        <w:t>21、乙方应建立客户服务机制，提供365天*24小时的业务咨询、报修、投诉服务、满足甲方特约商户的需要。</w:t>
      </w:r>
    </w:p>
    <w:p w14:paraId="786CAFDA">
      <w:pPr>
        <w:spacing w:line="360" w:lineRule="auto"/>
        <w:ind w:firstLine="480" w:firstLineChars="200"/>
        <w:rPr>
          <w:rFonts w:ascii="宋体" w:hAnsi="宋体" w:cs="宋体"/>
          <w:sz w:val="24"/>
        </w:rPr>
      </w:pPr>
      <w:r>
        <w:rPr>
          <w:rFonts w:hint="eastAsia" w:ascii="宋体" w:hAnsi="宋体" w:cs="宋体"/>
          <w:sz w:val="24"/>
        </w:rPr>
        <w:t>22、如支付终端出现故障，乙方应在收到特约商户口头或书面维护通知后及时提供检查维修等服务。如乙方维修人员无法在收到商户通知的24小时内检查维修完毕的，乙方应向特约商户提供备用的终端设备。</w:t>
      </w:r>
    </w:p>
    <w:p w14:paraId="3A22F28A">
      <w:pPr>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3</w:t>
      </w:r>
      <w:r>
        <w:rPr>
          <w:rFonts w:hint="eastAsia" w:ascii="宋体" w:hAnsi="宋体" w:cs="宋体"/>
          <w:sz w:val="24"/>
        </w:rPr>
        <w:t>、乙方保证其以及其拓展的特约商户的所有经营活动符合法律法规（含行政规章、民族自治地方的自治条例和单行条例和其他地方性法规，下同）、政策要求及甲方相关业务规则；凭证应自交易发生之日起至少保留五年。对甲方提出的查询通知及调单要求，乙方应在接到甲方通知后，以邮件的形式在甲方要求的期限内将原有相关单据或数据回复给甲方，如乙方在甲方指定期限内无法提供、怠于提供或提供不</w:t>
      </w:r>
      <w:r>
        <w:rPr>
          <w:rFonts w:hint="eastAsia" w:ascii="宋体" w:hAnsi="宋体" w:cs="宋体"/>
          <w:sz w:val="24"/>
          <w:lang w:eastAsia="zh-CN"/>
        </w:rPr>
        <w:t>符合</w:t>
      </w:r>
      <w:r>
        <w:rPr>
          <w:rFonts w:hint="eastAsia" w:ascii="宋体" w:hAnsi="宋体" w:cs="宋体"/>
          <w:sz w:val="24"/>
        </w:rPr>
        <w:t>要求的相关材料，由此给甲方和用户造成的所有损失和责任均由乙方承担。</w:t>
      </w:r>
    </w:p>
    <w:p w14:paraId="7CA347AF">
      <w:pPr>
        <w:spacing w:line="360" w:lineRule="auto"/>
        <w:ind w:firstLine="482" w:firstLineChars="200"/>
        <w:rPr>
          <w:rFonts w:ascii="宋体" w:hAnsi="宋体" w:cs="宋体"/>
          <w:b/>
          <w:bCs/>
          <w:sz w:val="24"/>
        </w:rPr>
      </w:pPr>
      <w:r>
        <w:rPr>
          <w:rFonts w:hint="eastAsia" w:ascii="宋体" w:hAnsi="宋体" w:cs="宋体"/>
          <w:b/>
          <w:bCs/>
          <w:sz w:val="24"/>
        </w:rPr>
        <w:t>八、违约责任</w:t>
      </w:r>
    </w:p>
    <w:p w14:paraId="1F0210C4">
      <w:pPr>
        <w:spacing w:line="360" w:lineRule="auto"/>
        <w:ind w:firstLine="480" w:firstLineChars="200"/>
        <w:rPr>
          <w:rFonts w:ascii="宋体" w:hAnsi="宋体" w:cs="宋体"/>
          <w:sz w:val="24"/>
        </w:rPr>
      </w:pPr>
      <w:r>
        <w:rPr>
          <w:rFonts w:hint="eastAsia" w:ascii="宋体" w:hAnsi="宋体" w:cs="宋体"/>
          <w:sz w:val="24"/>
        </w:rPr>
        <w:t>1、乙方未按本协议约定履行其义务，甲方有权终止本协议，并停止支付任何费用；同时甲方有权向乙方主张违约损害赔偿责任。</w:t>
      </w:r>
    </w:p>
    <w:p w14:paraId="2D4A0359">
      <w:pPr>
        <w:spacing w:line="360" w:lineRule="auto"/>
        <w:ind w:firstLine="480" w:firstLineChars="200"/>
        <w:rPr>
          <w:rFonts w:ascii="宋体" w:hAnsi="宋体" w:cs="宋体"/>
          <w:sz w:val="24"/>
        </w:rPr>
      </w:pPr>
      <w:r>
        <w:rPr>
          <w:rFonts w:hint="eastAsia" w:ascii="宋体" w:hAnsi="宋体" w:cs="宋体"/>
          <w:sz w:val="24"/>
        </w:rPr>
        <w:t>2、甲方未按本协议约定履行其义务，乙方有权终止本协议，同时乙方有权向甲方主张违约损害赔偿责任。</w:t>
      </w:r>
    </w:p>
    <w:p w14:paraId="0B6F4680">
      <w:pPr>
        <w:spacing w:line="360" w:lineRule="auto"/>
        <w:ind w:firstLine="480" w:firstLineChars="200"/>
        <w:rPr>
          <w:rFonts w:ascii="宋体" w:hAnsi="宋体" w:cs="宋体"/>
          <w:sz w:val="24"/>
        </w:rPr>
      </w:pPr>
      <w:r>
        <w:rPr>
          <w:rFonts w:hint="eastAsia" w:ascii="宋体" w:hAnsi="宋体" w:cs="宋体"/>
          <w:sz w:val="24"/>
        </w:rPr>
        <w:t>3、由于不可抗力及国家法律规定、相关政策发生变化导致本协议无法履行，本协议自行终止，甲乙双方均无须承担违约责任。</w:t>
      </w:r>
    </w:p>
    <w:p w14:paraId="46F055D2">
      <w:pPr>
        <w:spacing w:line="360" w:lineRule="auto"/>
        <w:ind w:firstLine="480" w:firstLineChars="200"/>
        <w:rPr>
          <w:rFonts w:ascii="宋体" w:hAnsi="宋体" w:cs="宋体"/>
          <w:sz w:val="24"/>
        </w:rPr>
      </w:pPr>
      <w:r>
        <w:rPr>
          <w:rFonts w:hint="eastAsia" w:ascii="宋体" w:hAnsi="宋体" w:cs="宋体"/>
          <w:sz w:val="24"/>
        </w:rPr>
        <w:t>4、乙方应当赔偿因违约而给甲方造成的所有损失，包括但不限于：法律诉讼费用、合理的律师酬金和费用、所有损失或损害等等。</w:t>
      </w:r>
    </w:p>
    <w:p w14:paraId="0D193168">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b/>
          <w:sz w:val="24"/>
        </w:rPr>
        <w:t>乙方承诺不得侵犯“银联”“银联”产品的品牌权益、中国银联成员机构品牌权益及移动支付服务方品牌权益，不得冒用中国银联或移动支付服务方名义进行虚假宣传、违规宣传、违规拓展特约商户等行为。</w:t>
      </w:r>
      <w:r>
        <w:rPr>
          <w:rFonts w:hint="eastAsia" w:ascii="宋体" w:hAnsi="宋体" w:cs="宋体"/>
          <w:sz w:val="24"/>
        </w:rPr>
        <w:t>如甲方收到合作方相关通知或甲方自行开展自查业务发现乙方存在上述行为，甲方有权对乙方采取包括但不限于停止进件、停止分润、单方终止合作等限制性措施。如给</w:t>
      </w:r>
      <w:r>
        <w:rPr>
          <w:rFonts w:ascii="宋体" w:hAnsi="宋体" w:cs="宋体"/>
          <w:sz w:val="24"/>
        </w:rPr>
        <w:t>甲方造成资金损失</w:t>
      </w:r>
      <w:r>
        <w:rPr>
          <w:rFonts w:hint="eastAsia" w:ascii="宋体" w:hAnsi="宋体" w:cs="宋体"/>
          <w:sz w:val="24"/>
        </w:rPr>
        <w:t>、</w:t>
      </w:r>
      <w:r>
        <w:rPr>
          <w:rFonts w:ascii="宋体" w:hAnsi="宋体" w:cs="宋体"/>
          <w:sz w:val="24"/>
        </w:rPr>
        <w:t>名誉损失的</w:t>
      </w:r>
      <w:r>
        <w:rPr>
          <w:rFonts w:hint="eastAsia" w:ascii="宋体" w:hAnsi="宋体" w:cs="宋体"/>
          <w:sz w:val="24"/>
        </w:rPr>
        <w:t>，乙方同意承担</w:t>
      </w:r>
      <w:r>
        <w:rPr>
          <w:rFonts w:hint="eastAsia" w:ascii="宋体" w:hAnsi="宋体" w:cs="宋体"/>
          <w:sz w:val="24"/>
          <w:lang w:eastAsia="zh-CN"/>
        </w:rPr>
        <w:t>全部</w:t>
      </w:r>
      <w:r>
        <w:rPr>
          <w:rFonts w:hint="eastAsia" w:ascii="宋体" w:hAnsi="宋体" w:cs="宋体"/>
          <w:sz w:val="24"/>
        </w:rPr>
        <w:t>赔偿责任，并承担由此产生的法律责任。</w:t>
      </w:r>
    </w:p>
    <w:p w14:paraId="1A892DA3">
      <w:pPr>
        <w:spacing w:line="360" w:lineRule="auto"/>
        <w:ind w:firstLine="482" w:firstLineChars="200"/>
        <w:rPr>
          <w:rFonts w:ascii="宋体" w:hAnsi="宋体" w:cs="宋体"/>
          <w:b/>
          <w:bCs/>
          <w:sz w:val="24"/>
        </w:rPr>
      </w:pPr>
      <w:r>
        <w:rPr>
          <w:rFonts w:hint="eastAsia" w:ascii="宋体" w:hAnsi="宋体" w:cs="宋体"/>
          <w:b/>
          <w:bCs/>
          <w:sz w:val="24"/>
        </w:rPr>
        <w:t>九、风险条款</w:t>
      </w:r>
    </w:p>
    <w:p w14:paraId="60196924">
      <w:pPr>
        <w:spacing w:line="360" w:lineRule="auto"/>
        <w:ind w:firstLine="480" w:firstLineChars="200"/>
        <w:rPr>
          <w:rFonts w:ascii="宋体" w:hAnsi="宋体" w:cs="宋体"/>
          <w:sz w:val="24"/>
        </w:rPr>
      </w:pPr>
      <w:r>
        <w:rPr>
          <w:rFonts w:hint="eastAsia" w:ascii="宋体" w:hAnsi="宋体" w:cs="宋体"/>
          <w:sz w:val="24"/>
        </w:rPr>
        <w:t>1、乙方需对甲方提示的可疑交易开展风险排查，并需严格按照甲方要求的时限处理及反馈。对于乙方未及时处理的商户的可疑交易，甲方有权对相关交易暂缓清算，直至乙方完成相关交易的风险排查，由此引起的一切损失及责任均由乙方承担。</w:t>
      </w:r>
    </w:p>
    <w:p w14:paraId="49E3705B">
      <w:pPr>
        <w:spacing w:line="360" w:lineRule="auto"/>
        <w:ind w:firstLine="480" w:firstLineChars="200"/>
        <w:rPr>
          <w:rFonts w:hint="eastAsia" w:ascii="宋体" w:hAnsi="宋体" w:cs="宋体"/>
          <w:sz w:val="24"/>
        </w:rPr>
      </w:pPr>
      <w:r>
        <w:rPr>
          <w:rFonts w:hint="eastAsia" w:ascii="宋体" w:hAnsi="宋体" w:cs="宋体"/>
          <w:sz w:val="24"/>
        </w:rPr>
        <w:t>2、乙方不得以甲方及移动支付服务商的名义向乙方商户或用户收取费用。乙方在商务拓展中以自己名义向乙方商户收取费用时，需参照甲方提供的费用标准向乙方商户收费，禁止恶意扰乱甲方产品市场价格。乙方未按照该费用标准向甲方商户收费的，甲方有权要求乙方整改，并保留单方面终止本协议的权利。</w:t>
      </w:r>
    </w:p>
    <w:p w14:paraId="355A2A93">
      <w:pPr>
        <w:spacing w:line="360" w:lineRule="auto"/>
        <w:ind w:firstLine="482" w:firstLineChars="200"/>
        <w:rPr>
          <w:rFonts w:ascii="宋体" w:hAnsi="宋体" w:cs="宋体"/>
          <w:b/>
          <w:bCs/>
          <w:sz w:val="24"/>
        </w:rPr>
      </w:pPr>
      <w:r>
        <w:rPr>
          <w:rFonts w:hint="eastAsia" w:ascii="宋体" w:hAnsi="宋体" w:cs="宋体"/>
          <w:b/>
          <w:bCs/>
          <w:sz w:val="24"/>
        </w:rPr>
        <w:t>十、保密条款</w:t>
      </w:r>
    </w:p>
    <w:p w14:paraId="5F20293C">
      <w:pPr>
        <w:spacing w:line="360" w:lineRule="auto"/>
        <w:ind w:firstLine="480" w:firstLineChars="200"/>
        <w:rPr>
          <w:rFonts w:ascii="宋体" w:hAnsi="宋体" w:cs="宋体"/>
          <w:sz w:val="24"/>
        </w:rPr>
      </w:pPr>
      <w:r>
        <w:rPr>
          <w:rFonts w:hint="eastAsia" w:ascii="宋体" w:hAnsi="宋体" w:cs="宋体"/>
          <w:sz w:val="24"/>
        </w:rPr>
        <w:t>1.甲乙双方(包括各自的经营管理人员和雇佣人员)中的任何一方均应对双方的合作内容等一切信息承担保密义务，不得提供、透露给任何第三方或许可其使用，不得将前述信息、数据、资料使用于本协议以外其他任何用途。</w:t>
      </w:r>
    </w:p>
    <w:p w14:paraId="6FDAC8D9">
      <w:pPr>
        <w:spacing w:line="360" w:lineRule="auto"/>
        <w:ind w:firstLine="480" w:firstLineChars="200"/>
        <w:rPr>
          <w:rFonts w:ascii="宋体" w:hAnsi="宋体" w:cs="宋体"/>
          <w:sz w:val="24"/>
        </w:rPr>
      </w:pPr>
      <w:r>
        <w:rPr>
          <w:rFonts w:hint="eastAsia" w:ascii="宋体" w:hAnsi="宋体" w:cs="宋体"/>
          <w:sz w:val="24"/>
        </w:rPr>
        <w:t>2.合作过程中，收集个人信息时，严格遵循合法、合理原则，不收集与工作无关的信息或采取不正当方式收集信息。</w:t>
      </w:r>
    </w:p>
    <w:p w14:paraId="375815CF">
      <w:pPr>
        <w:spacing w:line="360" w:lineRule="auto"/>
        <w:ind w:firstLine="480" w:firstLineChars="200"/>
        <w:rPr>
          <w:rFonts w:ascii="宋体" w:hAnsi="宋体" w:cs="宋体"/>
          <w:sz w:val="24"/>
        </w:rPr>
      </w:pPr>
      <w:r>
        <w:rPr>
          <w:rFonts w:hint="eastAsia" w:ascii="宋体" w:hAnsi="宋体" w:cs="宋体"/>
          <w:sz w:val="24"/>
        </w:rPr>
        <w:t>3.收集、保存、使用、对外提供个人信息时，严格遵守法律规定，采取有效措施加强个人信息保护，确保信息安全，防止信息泄露和滥用。</w:t>
      </w:r>
    </w:p>
    <w:p w14:paraId="49496C1B">
      <w:pPr>
        <w:spacing w:line="360" w:lineRule="auto"/>
        <w:ind w:firstLine="480" w:firstLineChars="200"/>
        <w:rPr>
          <w:rFonts w:ascii="宋体" w:hAnsi="宋体" w:cs="宋体"/>
          <w:sz w:val="24"/>
        </w:rPr>
      </w:pPr>
      <w:r>
        <w:rPr>
          <w:rFonts w:hint="eastAsia" w:ascii="宋体" w:hAnsi="宋体" w:cs="宋体"/>
          <w:sz w:val="24"/>
        </w:rPr>
        <w:t>4.不将个人信息用于营销，对外提供等作为与他人建立利益关系的先决条件，但如工作关系的性质决定需要必须预先取得相关授权或同意。</w:t>
      </w:r>
    </w:p>
    <w:p w14:paraId="20C533B5">
      <w:pPr>
        <w:spacing w:line="360" w:lineRule="auto"/>
        <w:ind w:firstLine="480" w:firstLineChars="200"/>
        <w:rPr>
          <w:rFonts w:ascii="宋体" w:hAnsi="宋体" w:cs="宋体"/>
          <w:sz w:val="24"/>
        </w:rPr>
      </w:pPr>
      <w:r>
        <w:rPr>
          <w:rFonts w:hint="eastAsia" w:ascii="宋体" w:hAnsi="宋体" w:cs="宋体"/>
          <w:sz w:val="24"/>
        </w:rPr>
        <w:t>5.不篡改和出售个人信息。</w:t>
      </w:r>
    </w:p>
    <w:p w14:paraId="485D6FCF">
      <w:pPr>
        <w:spacing w:line="360" w:lineRule="auto"/>
        <w:ind w:firstLine="480" w:firstLineChars="200"/>
        <w:rPr>
          <w:rFonts w:ascii="宋体" w:hAnsi="宋体" w:cs="宋体"/>
          <w:sz w:val="24"/>
        </w:rPr>
      </w:pPr>
      <w:r>
        <w:rPr>
          <w:rFonts w:hint="eastAsia" w:ascii="宋体" w:hAnsi="宋体" w:cs="宋体"/>
          <w:sz w:val="24"/>
        </w:rPr>
        <w:t>6.不违规通过中国人民银行征信系统、支付系统以及其他系统查询或滥用个人信息。</w:t>
      </w:r>
    </w:p>
    <w:p w14:paraId="439735DC">
      <w:pPr>
        <w:spacing w:line="360" w:lineRule="auto"/>
        <w:ind w:firstLine="480" w:firstLineChars="200"/>
        <w:rPr>
          <w:rFonts w:ascii="宋体" w:hAnsi="宋体" w:cs="宋体"/>
          <w:sz w:val="24"/>
        </w:rPr>
      </w:pPr>
      <w:r>
        <w:rPr>
          <w:rFonts w:hint="eastAsia" w:ascii="宋体" w:hAnsi="宋体" w:cs="宋体"/>
          <w:sz w:val="24"/>
        </w:rPr>
        <w:t>7.如违反规定使用和对外提供个人信息，造成单位或个人造成损害的，愿意承担相关法律责任并赔偿损失。</w:t>
      </w:r>
    </w:p>
    <w:p w14:paraId="1AFA14B6">
      <w:pPr>
        <w:spacing w:line="360" w:lineRule="auto"/>
        <w:ind w:firstLine="482" w:firstLineChars="200"/>
        <w:rPr>
          <w:rFonts w:ascii="宋体" w:hAnsi="宋体" w:cs="宋体"/>
          <w:b/>
          <w:bCs/>
          <w:sz w:val="24"/>
        </w:rPr>
      </w:pPr>
      <w:r>
        <w:rPr>
          <w:rFonts w:hint="eastAsia" w:ascii="宋体" w:hAnsi="宋体" w:cs="宋体"/>
          <w:b/>
          <w:bCs/>
          <w:sz w:val="24"/>
        </w:rPr>
        <w:t>十一、争议解决</w:t>
      </w:r>
    </w:p>
    <w:p w14:paraId="06F95127">
      <w:pPr>
        <w:spacing w:line="360" w:lineRule="auto"/>
        <w:ind w:firstLine="480" w:firstLineChars="200"/>
        <w:rPr>
          <w:rFonts w:ascii="宋体" w:hAnsi="宋体" w:cs="宋体"/>
          <w:sz w:val="24"/>
        </w:rPr>
      </w:pPr>
      <w:r>
        <w:rPr>
          <w:rFonts w:hint="eastAsia" w:ascii="宋体" w:hAnsi="宋体" w:cs="宋体"/>
          <w:sz w:val="24"/>
        </w:rPr>
        <w:t>本协议如遇有争议并无法协商解决的，甲乙双方均可向甲方所在地人民法院提起诉讼。</w:t>
      </w:r>
    </w:p>
    <w:p w14:paraId="25AB0023">
      <w:pPr>
        <w:spacing w:line="360" w:lineRule="auto"/>
        <w:ind w:firstLine="482" w:firstLineChars="200"/>
        <w:rPr>
          <w:rFonts w:ascii="宋体" w:hAnsi="宋体" w:cs="宋体"/>
          <w:b/>
          <w:bCs/>
          <w:sz w:val="24"/>
        </w:rPr>
      </w:pPr>
      <w:r>
        <w:rPr>
          <w:rFonts w:hint="eastAsia" w:ascii="宋体" w:hAnsi="宋体" w:cs="宋体"/>
          <w:b/>
          <w:bCs/>
          <w:sz w:val="24"/>
        </w:rPr>
        <w:t>十二、协议的变更和终止</w:t>
      </w:r>
    </w:p>
    <w:p w14:paraId="2C3116AF">
      <w:pPr>
        <w:spacing w:line="360" w:lineRule="auto"/>
        <w:ind w:firstLine="480" w:firstLineChars="200"/>
        <w:rPr>
          <w:rFonts w:ascii="宋体" w:hAnsi="宋体" w:cs="宋体"/>
          <w:sz w:val="24"/>
        </w:rPr>
      </w:pPr>
      <w:r>
        <w:rPr>
          <w:rFonts w:hint="eastAsia" w:ascii="宋体" w:hAnsi="宋体" w:cs="宋体"/>
          <w:sz w:val="24"/>
        </w:rPr>
        <w:t>本协议有效期内，若一方欲变更或终止本协议，须提前一个月向对方书面提出，经双方协商一致可变更协议或终止协议。除本协议另有规定的情况外，一方未经对方同意，擅自变更或终止本协议的，须赔偿对方因此而遭受的经济损失。</w:t>
      </w:r>
    </w:p>
    <w:p w14:paraId="723FF47D">
      <w:pPr>
        <w:spacing w:line="360" w:lineRule="auto"/>
        <w:ind w:firstLine="482" w:firstLineChars="200"/>
        <w:rPr>
          <w:rFonts w:ascii="宋体" w:hAnsi="宋体" w:cs="宋体"/>
          <w:b/>
          <w:bCs/>
          <w:sz w:val="24"/>
        </w:rPr>
      </w:pPr>
      <w:r>
        <w:rPr>
          <w:rFonts w:hint="eastAsia" w:ascii="宋体" w:hAnsi="宋体" w:cs="宋体"/>
          <w:b/>
          <w:bCs/>
          <w:sz w:val="24"/>
        </w:rPr>
        <w:t>十三、其他约定</w:t>
      </w:r>
    </w:p>
    <w:p w14:paraId="1A93531A">
      <w:pPr>
        <w:spacing w:line="360" w:lineRule="auto"/>
        <w:ind w:firstLine="480" w:firstLineChars="200"/>
        <w:rPr>
          <w:rFonts w:ascii="宋体" w:hAnsi="宋体" w:cs="宋体"/>
          <w:sz w:val="24"/>
        </w:rPr>
      </w:pPr>
      <w:r>
        <w:rPr>
          <w:rFonts w:hint="eastAsia" w:ascii="宋体" w:hAnsi="宋体" w:cs="宋体"/>
          <w:sz w:val="24"/>
        </w:rPr>
        <w:t>1、本协议未约定事项双方可另行签订补充协议。</w:t>
      </w:r>
    </w:p>
    <w:p w14:paraId="20E7D14E">
      <w:pPr>
        <w:spacing w:line="360" w:lineRule="auto"/>
        <w:ind w:firstLine="480" w:firstLineChars="200"/>
        <w:rPr>
          <w:rFonts w:ascii="宋体" w:hAnsi="宋体" w:cs="宋体"/>
          <w:sz w:val="24"/>
        </w:rPr>
      </w:pPr>
      <w:r>
        <w:rPr>
          <w:rFonts w:hint="eastAsia" w:ascii="宋体" w:hAnsi="宋体" w:cs="宋体"/>
          <w:sz w:val="24"/>
        </w:rPr>
        <w:t>2、在未经甲方书面许可的情况下，乙方不得将此协议转让、外包给第三方。</w:t>
      </w:r>
    </w:p>
    <w:p w14:paraId="78557466">
      <w:pPr>
        <w:spacing w:line="360" w:lineRule="auto"/>
        <w:ind w:firstLine="480" w:firstLineChars="200"/>
        <w:rPr>
          <w:rFonts w:ascii="宋体" w:hAnsi="宋体" w:cs="宋体"/>
          <w:sz w:val="24"/>
        </w:rPr>
      </w:pPr>
      <w:r>
        <w:rPr>
          <w:rFonts w:hint="eastAsia" w:ascii="宋体" w:hAnsi="宋体" w:cs="宋体"/>
          <w:sz w:val="24"/>
        </w:rPr>
        <w:t>3、本协议自双方盖章</w:t>
      </w:r>
      <w:r>
        <w:rPr>
          <w:rFonts w:ascii="宋体" w:hAnsi="宋体" w:cs="宋体"/>
          <w:sz w:val="24"/>
        </w:rPr>
        <w:t>（</w:t>
      </w:r>
      <w:r>
        <w:rPr>
          <w:rFonts w:hint="eastAsia" w:ascii="宋体" w:hAnsi="宋体" w:cs="宋体"/>
          <w:sz w:val="24"/>
        </w:rPr>
        <w:t>公章</w:t>
      </w:r>
      <w:r>
        <w:rPr>
          <w:rFonts w:ascii="宋体" w:hAnsi="宋体" w:cs="宋体"/>
          <w:sz w:val="24"/>
        </w:rPr>
        <w:t>或合同章）</w:t>
      </w:r>
      <w:r>
        <w:rPr>
          <w:rFonts w:hint="eastAsia" w:ascii="宋体" w:hAnsi="宋体" w:cs="宋体"/>
          <w:sz w:val="24"/>
        </w:rPr>
        <w:t>后生效，有效期一年。如双方盖章之日不在同一日的，以日期在后的一方的盖章之日为准。协议到期后，双方无异议的，自动延续 壹 年，顺延次数不限。</w:t>
      </w:r>
    </w:p>
    <w:p w14:paraId="015F6FCF">
      <w:pPr>
        <w:spacing w:line="360" w:lineRule="auto"/>
        <w:ind w:firstLine="480" w:firstLineChars="200"/>
        <w:rPr>
          <w:rFonts w:ascii="宋体" w:hAnsi="宋体" w:cs="宋体"/>
          <w:sz w:val="24"/>
        </w:rPr>
      </w:pPr>
      <w:r>
        <w:rPr>
          <w:rFonts w:hint="eastAsia" w:ascii="宋体" w:hAnsi="宋体" w:cs="宋体"/>
          <w:sz w:val="24"/>
        </w:rPr>
        <w:t>4、本协议壹式</w:t>
      </w:r>
      <w:r>
        <w:rPr>
          <w:rFonts w:hint="eastAsia" w:ascii="宋体" w:hAnsi="宋体" w:cs="宋体"/>
          <w:sz w:val="24"/>
          <w:lang w:eastAsia="zh-CN"/>
        </w:rPr>
        <w:t>肆</w:t>
      </w:r>
      <w:r>
        <w:rPr>
          <w:rFonts w:hint="eastAsia" w:ascii="宋体" w:hAnsi="宋体" w:cs="宋体"/>
          <w:sz w:val="24"/>
        </w:rPr>
        <w:t>份，甲乙双方各执</w:t>
      </w:r>
      <w:r>
        <w:rPr>
          <w:rFonts w:hint="eastAsia" w:ascii="宋体" w:hAnsi="宋体" w:cs="宋体"/>
          <w:sz w:val="24"/>
          <w:lang w:eastAsia="zh-CN"/>
        </w:rPr>
        <w:t>贰</w:t>
      </w:r>
      <w:r>
        <w:rPr>
          <w:rFonts w:hint="eastAsia" w:ascii="宋体" w:hAnsi="宋体" w:cs="宋体"/>
          <w:sz w:val="24"/>
        </w:rPr>
        <w:t>份，均具有相同法律效力。</w:t>
      </w:r>
    </w:p>
    <w:p w14:paraId="45510A54">
      <w:pPr>
        <w:spacing w:line="360" w:lineRule="auto"/>
        <w:ind w:firstLine="480" w:firstLineChars="200"/>
        <w:rPr>
          <w:rFonts w:ascii="宋体" w:hAnsi="宋体" w:cs="宋体"/>
          <w:sz w:val="24"/>
        </w:rPr>
      </w:pPr>
    </w:p>
    <w:p w14:paraId="5105FFD9">
      <w:pPr>
        <w:spacing w:line="360" w:lineRule="auto"/>
        <w:ind w:firstLine="480" w:firstLineChars="200"/>
        <w:rPr>
          <w:rFonts w:ascii="宋体" w:hAnsi="宋体" w:cs="宋体"/>
          <w:sz w:val="24"/>
        </w:rPr>
      </w:pPr>
      <w:r>
        <w:rPr>
          <w:rFonts w:hint="eastAsia" w:ascii="宋体" w:hAnsi="宋体" w:cs="宋体"/>
          <w:sz w:val="24"/>
        </w:rPr>
        <w:t>（以下无正文）</w:t>
      </w:r>
    </w:p>
    <w:p w14:paraId="6E350A23">
      <w:pPr>
        <w:ind w:firstLine="480" w:firstLineChars="200"/>
        <w:rPr>
          <w:rFonts w:ascii="宋体" w:hAnsi="宋体" w:cs="宋体"/>
          <w:sz w:val="24"/>
        </w:rPr>
      </w:pPr>
    </w:p>
    <w:p w14:paraId="03D2C68C">
      <w:pPr>
        <w:spacing w:line="360" w:lineRule="auto"/>
        <w:ind w:left="5410" w:hanging="5409" w:hangingChars="2254"/>
        <w:jc w:val="left"/>
        <w:rPr>
          <w:rFonts w:ascii="宋体" w:hAnsi="宋体" w:cs="宋体"/>
          <w:bCs/>
          <w:sz w:val="24"/>
        </w:rPr>
      </w:pPr>
      <w:r>
        <w:rPr>
          <w:rFonts w:hint="eastAsia" w:ascii="宋体" w:hAnsi="宋体" w:cs="宋体"/>
          <w:sz w:val="24"/>
        </w:rPr>
        <w:t>甲方：</w:t>
      </w:r>
      <w:r>
        <w:rPr>
          <w:rFonts w:hint="eastAsia" w:ascii="宋体" w:hAnsi="宋体" w:cs="宋体"/>
          <w:bCs/>
          <w:sz w:val="24"/>
        </w:rPr>
        <w:t>新生支付有限公司</w:t>
      </w:r>
      <w:r>
        <w:rPr>
          <w:rFonts w:hint="eastAsia" w:ascii="宋体" w:hAnsi="宋体" w:cs="宋体"/>
          <w:sz w:val="24"/>
        </w:rPr>
        <w:t xml:space="preserve">            乙方：</w:t>
      </w:r>
    </w:p>
    <w:p w14:paraId="481796A4">
      <w:pPr>
        <w:spacing w:line="360" w:lineRule="auto"/>
        <w:jc w:val="left"/>
        <w:rPr>
          <w:rFonts w:ascii="宋体" w:hAnsi="宋体" w:cs="宋体"/>
          <w:sz w:val="24"/>
        </w:rPr>
      </w:pPr>
      <w:r>
        <w:rPr>
          <w:rFonts w:hint="eastAsia" w:ascii="宋体" w:hAnsi="宋体" w:cs="宋体"/>
          <w:sz w:val="24"/>
        </w:rPr>
        <w:t>签名盖章：                           签名盖章：</w:t>
      </w:r>
    </w:p>
    <w:p w14:paraId="1900A9DF">
      <w:pPr>
        <w:rPr>
          <w:rFonts w:ascii="宋体" w:hAnsi="宋体" w:cs="宋体"/>
        </w:rPr>
      </w:pPr>
      <w:r>
        <w:rPr>
          <w:rFonts w:hint="eastAsia" w:ascii="宋体" w:hAnsi="宋体" w:cs="宋体"/>
          <w:sz w:val="24"/>
        </w:rPr>
        <w:t xml:space="preserve">日期： 202  年 </w:t>
      </w:r>
      <w:r>
        <w:rPr>
          <w:rFonts w:ascii="宋体" w:hAnsi="宋体" w:cs="宋体"/>
          <w:sz w:val="24"/>
        </w:rPr>
        <w:t xml:space="preserve"> </w:t>
      </w:r>
      <w:r>
        <w:rPr>
          <w:rFonts w:hint="eastAsia" w:ascii="宋体" w:hAnsi="宋体" w:cs="宋体"/>
          <w:sz w:val="24"/>
        </w:rPr>
        <w:t>月  日               日期：202  年</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1292355"/>
    </w:sdtPr>
    <w:sdtContent>
      <w:sdt>
        <w:sdtPr>
          <w:id w:val="1728636285"/>
        </w:sdtPr>
        <w:sdtContent>
          <w:p w14:paraId="77525A00">
            <w:pPr>
              <w:pStyle w:val="5"/>
              <w:ind w:firstLine="360"/>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2D53B503">
    <w:pPr>
      <w:pStyle w:val="5"/>
      <w:ind w:firstLine="360"/>
    </w:pPr>
  </w:p>
  <w:p w14:paraId="431567F5"/>
  <w:p w14:paraId="2EA5485D"/>
  <w:p w14:paraId="150DAC7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4ED9D">
    <w:pPr>
      <w:pStyle w:val="6"/>
      <w:pBdr>
        <w:bottom w:val="none" w:color="auto" w:sz="0" w:space="1"/>
      </w:pBdr>
      <w:ind w:firstLine="360"/>
    </w:pPr>
    <w:r>
      <w:drawing>
        <wp:anchor distT="0" distB="0" distL="114300" distR="114300" simplePos="0" relativeHeight="251659264" behindDoc="1" locked="0" layoutInCell="1" allowOverlap="1">
          <wp:simplePos x="0" y="0"/>
          <wp:positionH relativeFrom="margin">
            <wp:posOffset>4610100</wp:posOffset>
          </wp:positionH>
          <wp:positionV relativeFrom="paragraph">
            <wp:posOffset>-235585</wp:posOffset>
          </wp:positionV>
          <wp:extent cx="647700" cy="454025"/>
          <wp:effectExtent l="0" t="0" r="0" b="3175"/>
          <wp:wrapTight wrapText="bothSides">
            <wp:wrapPolygon>
              <wp:start x="1906" y="0"/>
              <wp:lineTo x="0" y="2719"/>
              <wp:lineTo x="0" y="20845"/>
              <wp:lineTo x="19694" y="20845"/>
              <wp:lineTo x="20965" y="12688"/>
              <wp:lineTo x="20965" y="2719"/>
              <wp:lineTo x="19059" y="0"/>
              <wp:lineTo x="1906"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7700" cy="454025"/>
                  </a:xfrm>
                  <a:prstGeom prst="rect">
                    <a:avLst/>
                  </a:prstGeom>
                </pic:spPr>
              </pic:pic>
            </a:graphicData>
          </a:graphic>
        </wp:anchor>
      </w:drawing>
    </w:r>
  </w:p>
  <w:p w14:paraId="73D9F5D3"/>
  <w:p w14:paraId="51602CE8"/>
  <w:p w14:paraId="2DDACC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EB214B"/>
    <w:multiLevelType w:val="singleLevel"/>
    <w:tmpl w:val="7AEB214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5ZjMxMjcwMDc0MzcwMTU5Zjc3YzYyY2UzNmU0YmIifQ=="/>
  </w:docVars>
  <w:rsids>
    <w:rsidRoot w:val="00F56D88"/>
    <w:rsid w:val="00003F4B"/>
    <w:rsid w:val="000308C0"/>
    <w:rsid w:val="00041FDC"/>
    <w:rsid w:val="00045782"/>
    <w:rsid w:val="00052E11"/>
    <w:rsid w:val="00076B78"/>
    <w:rsid w:val="00091653"/>
    <w:rsid w:val="000B530E"/>
    <w:rsid w:val="00140B9D"/>
    <w:rsid w:val="00143C03"/>
    <w:rsid w:val="00160FC5"/>
    <w:rsid w:val="001666C8"/>
    <w:rsid w:val="001715B6"/>
    <w:rsid w:val="001A525C"/>
    <w:rsid w:val="001B0D43"/>
    <w:rsid w:val="001D323B"/>
    <w:rsid w:val="002167B6"/>
    <w:rsid w:val="00256FE5"/>
    <w:rsid w:val="002717F3"/>
    <w:rsid w:val="00271F09"/>
    <w:rsid w:val="0027692F"/>
    <w:rsid w:val="00280F8D"/>
    <w:rsid w:val="002967C8"/>
    <w:rsid w:val="002A1923"/>
    <w:rsid w:val="002A7F43"/>
    <w:rsid w:val="002C2290"/>
    <w:rsid w:val="002E207D"/>
    <w:rsid w:val="002F15DD"/>
    <w:rsid w:val="002F58CF"/>
    <w:rsid w:val="00333C6E"/>
    <w:rsid w:val="003427D0"/>
    <w:rsid w:val="00346961"/>
    <w:rsid w:val="0037171C"/>
    <w:rsid w:val="0037283A"/>
    <w:rsid w:val="0039574C"/>
    <w:rsid w:val="003B6EAE"/>
    <w:rsid w:val="003F282C"/>
    <w:rsid w:val="003F33CF"/>
    <w:rsid w:val="00446453"/>
    <w:rsid w:val="004708F6"/>
    <w:rsid w:val="00476E17"/>
    <w:rsid w:val="004813E1"/>
    <w:rsid w:val="00481D4D"/>
    <w:rsid w:val="004A1D58"/>
    <w:rsid w:val="004D2700"/>
    <w:rsid w:val="004E493F"/>
    <w:rsid w:val="0053573B"/>
    <w:rsid w:val="00543697"/>
    <w:rsid w:val="005440BF"/>
    <w:rsid w:val="00553AC6"/>
    <w:rsid w:val="0057736D"/>
    <w:rsid w:val="005968D4"/>
    <w:rsid w:val="00596AD5"/>
    <w:rsid w:val="005E07C0"/>
    <w:rsid w:val="005F7241"/>
    <w:rsid w:val="00612909"/>
    <w:rsid w:val="00666CCC"/>
    <w:rsid w:val="006B69B9"/>
    <w:rsid w:val="006D619E"/>
    <w:rsid w:val="006E29B0"/>
    <w:rsid w:val="00713D84"/>
    <w:rsid w:val="007542E4"/>
    <w:rsid w:val="00772AD0"/>
    <w:rsid w:val="0077705C"/>
    <w:rsid w:val="00777172"/>
    <w:rsid w:val="00784352"/>
    <w:rsid w:val="0078609D"/>
    <w:rsid w:val="00787CE9"/>
    <w:rsid w:val="007A2A6D"/>
    <w:rsid w:val="007A3471"/>
    <w:rsid w:val="007C067E"/>
    <w:rsid w:val="007C6482"/>
    <w:rsid w:val="007D14A7"/>
    <w:rsid w:val="007E7D2A"/>
    <w:rsid w:val="00802D22"/>
    <w:rsid w:val="00804412"/>
    <w:rsid w:val="008178C3"/>
    <w:rsid w:val="00845756"/>
    <w:rsid w:val="008519EA"/>
    <w:rsid w:val="00863630"/>
    <w:rsid w:val="00896C20"/>
    <w:rsid w:val="008B2B31"/>
    <w:rsid w:val="008E5950"/>
    <w:rsid w:val="008F30BA"/>
    <w:rsid w:val="008F3289"/>
    <w:rsid w:val="008F5095"/>
    <w:rsid w:val="009351AA"/>
    <w:rsid w:val="00957848"/>
    <w:rsid w:val="00960F45"/>
    <w:rsid w:val="00963395"/>
    <w:rsid w:val="009751A9"/>
    <w:rsid w:val="00991D22"/>
    <w:rsid w:val="00A23188"/>
    <w:rsid w:val="00A3177E"/>
    <w:rsid w:val="00A44E42"/>
    <w:rsid w:val="00A45F79"/>
    <w:rsid w:val="00A51781"/>
    <w:rsid w:val="00A60D7C"/>
    <w:rsid w:val="00A6631B"/>
    <w:rsid w:val="00A808C1"/>
    <w:rsid w:val="00A86C0F"/>
    <w:rsid w:val="00AA4137"/>
    <w:rsid w:val="00AB0FCD"/>
    <w:rsid w:val="00AE065A"/>
    <w:rsid w:val="00B03DED"/>
    <w:rsid w:val="00B05833"/>
    <w:rsid w:val="00B07B6C"/>
    <w:rsid w:val="00B1142B"/>
    <w:rsid w:val="00B25224"/>
    <w:rsid w:val="00B27BCA"/>
    <w:rsid w:val="00B505DD"/>
    <w:rsid w:val="00B52F81"/>
    <w:rsid w:val="00B85395"/>
    <w:rsid w:val="00BB155B"/>
    <w:rsid w:val="00BB487A"/>
    <w:rsid w:val="00BB707A"/>
    <w:rsid w:val="00BF019D"/>
    <w:rsid w:val="00BF6348"/>
    <w:rsid w:val="00CA6D84"/>
    <w:rsid w:val="00CC0878"/>
    <w:rsid w:val="00D26CE0"/>
    <w:rsid w:val="00D46988"/>
    <w:rsid w:val="00D73A40"/>
    <w:rsid w:val="00D86B63"/>
    <w:rsid w:val="00D87165"/>
    <w:rsid w:val="00E11804"/>
    <w:rsid w:val="00E13B7E"/>
    <w:rsid w:val="00E13E70"/>
    <w:rsid w:val="00E158FB"/>
    <w:rsid w:val="00E20FC8"/>
    <w:rsid w:val="00E7513E"/>
    <w:rsid w:val="00E762E4"/>
    <w:rsid w:val="00E87CB9"/>
    <w:rsid w:val="00E95AC1"/>
    <w:rsid w:val="00EA03EE"/>
    <w:rsid w:val="00ED7457"/>
    <w:rsid w:val="00EF6FA7"/>
    <w:rsid w:val="00F017C1"/>
    <w:rsid w:val="00F04421"/>
    <w:rsid w:val="00F06A2F"/>
    <w:rsid w:val="00F164CB"/>
    <w:rsid w:val="00F25777"/>
    <w:rsid w:val="00F27F1D"/>
    <w:rsid w:val="00F56D88"/>
    <w:rsid w:val="00F57C25"/>
    <w:rsid w:val="00F832C3"/>
    <w:rsid w:val="00F97084"/>
    <w:rsid w:val="00FF4602"/>
    <w:rsid w:val="019B697B"/>
    <w:rsid w:val="029167E5"/>
    <w:rsid w:val="02F92D08"/>
    <w:rsid w:val="03293B44"/>
    <w:rsid w:val="03321D76"/>
    <w:rsid w:val="03CC3F79"/>
    <w:rsid w:val="05194773"/>
    <w:rsid w:val="054A4473"/>
    <w:rsid w:val="069D4208"/>
    <w:rsid w:val="06C76B17"/>
    <w:rsid w:val="079C0106"/>
    <w:rsid w:val="081E4FBF"/>
    <w:rsid w:val="084759D8"/>
    <w:rsid w:val="084C38DA"/>
    <w:rsid w:val="097C01EF"/>
    <w:rsid w:val="0A79472F"/>
    <w:rsid w:val="0A7D5FCD"/>
    <w:rsid w:val="0BAD28E2"/>
    <w:rsid w:val="0C762CD4"/>
    <w:rsid w:val="0CDD2D53"/>
    <w:rsid w:val="0D2941EA"/>
    <w:rsid w:val="0E0367E9"/>
    <w:rsid w:val="0E370B89"/>
    <w:rsid w:val="0E6F0323"/>
    <w:rsid w:val="0F546082"/>
    <w:rsid w:val="0FE5126C"/>
    <w:rsid w:val="10DE353E"/>
    <w:rsid w:val="116A4DD1"/>
    <w:rsid w:val="118045F5"/>
    <w:rsid w:val="11D230A2"/>
    <w:rsid w:val="1251060F"/>
    <w:rsid w:val="12FE5579"/>
    <w:rsid w:val="13AE71F7"/>
    <w:rsid w:val="13C76A41"/>
    <w:rsid w:val="14BF5F1C"/>
    <w:rsid w:val="14FB56DC"/>
    <w:rsid w:val="15B8435D"/>
    <w:rsid w:val="1665226C"/>
    <w:rsid w:val="17173305"/>
    <w:rsid w:val="176F779A"/>
    <w:rsid w:val="188A45AD"/>
    <w:rsid w:val="18EC62C1"/>
    <w:rsid w:val="197C5EDB"/>
    <w:rsid w:val="19866520"/>
    <w:rsid w:val="1B9E5159"/>
    <w:rsid w:val="1BA56B8B"/>
    <w:rsid w:val="1C9308E2"/>
    <w:rsid w:val="1CCA07F1"/>
    <w:rsid w:val="1D0D484C"/>
    <w:rsid w:val="1D537B9A"/>
    <w:rsid w:val="1D835251"/>
    <w:rsid w:val="1E911BEF"/>
    <w:rsid w:val="1EB12291"/>
    <w:rsid w:val="1F20632E"/>
    <w:rsid w:val="1FF9598B"/>
    <w:rsid w:val="20196922"/>
    <w:rsid w:val="21E40288"/>
    <w:rsid w:val="22325497"/>
    <w:rsid w:val="22667643"/>
    <w:rsid w:val="227E06DD"/>
    <w:rsid w:val="22C81958"/>
    <w:rsid w:val="23403BE4"/>
    <w:rsid w:val="2451159B"/>
    <w:rsid w:val="248464B8"/>
    <w:rsid w:val="24942439"/>
    <w:rsid w:val="264D04EE"/>
    <w:rsid w:val="27272857"/>
    <w:rsid w:val="286624F5"/>
    <w:rsid w:val="28D125E2"/>
    <w:rsid w:val="298A55BA"/>
    <w:rsid w:val="299B3D25"/>
    <w:rsid w:val="2C60565C"/>
    <w:rsid w:val="2CA25D3D"/>
    <w:rsid w:val="2CF3576B"/>
    <w:rsid w:val="2D460049"/>
    <w:rsid w:val="2D482013"/>
    <w:rsid w:val="2DA45E2A"/>
    <w:rsid w:val="2E363E2D"/>
    <w:rsid w:val="30A77050"/>
    <w:rsid w:val="30E154F2"/>
    <w:rsid w:val="30F53F8B"/>
    <w:rsid w:val="3286236D"/>
    <w:rsid w:val="32AC094E"/>
    <w:rsid w:val="32E22ECF"/>
    <w:rsid w:val="331704BD"/>
    <w:rsid w:val="334B63B9"/>
    <w:rsid w:val="34355843"/>
    <w:rsid w:val="34913384"/>
    <w:rsid w:val="34A22009"/>
    <w:rsid w:val="34B57530"/>
    <w:rsid w:val="352C0BF8"/>
    <w:rsid w:val="3601216E"/>
    <w:rsid w:val="36105698"/>
    <w:rsid w:val="36932551"/>
    <w:rsid w:val="36A17E72"/>
    <w:rsid w:val="373D24BC"/>
    <w:rsid w:val="374958EE"/>
    <w:rsid w:val="37B409D1"/>
    <w:rsid w:val="386D63D9"/>
    <w:rsid w:val="38B70C76"/>
    <w:rsid w:val="39367BF9"/>
    <w:rsid w:val="39842625"/>
    <w:rsid w:val="3C027831"/>
    <w:rsid w:val="3CC05722"/>
    <w:rsid w:val="3E6D71BA"/>
    <w:rsid w:val="3E9A6758"/>
    <w:rsid w:val="3FA36B90"/>
    <w:rsid w:val="3FA70E1B"/>
    <w:rsid w:val="3FC07E0A"/>
    <w:rsid w:val="3FE61943"/>
    <w:rsid w:val="40786313"/>
    <w:rsid w:val="40A20823"/>
    <w:rsid w:val="40B57568"/>
    <w:rsid w:val="426B0684"/>
    <w:rsid w:val="426D5647"/>
    <w:rsid w:val="42E90874"/>
    <w:rsid w:val="43D06BB2"/>
    <w:rsid w:val="43D45F57"/>
    <w:rsid w:val="449248FC"/>
    <w:rsid w:val="458A20DC"/>
    <w:rsid w:val="46814B14"/>
    <w:rsid w:val="46E66821"/>
    <w:rsid w:val="47BC679A"/>
    <w:rsid w:val="48FE4142"/>
    <w:rsid w:val="49024DC5"/>
    <w:rsid w:val="4977185E"/>
    <w:rsid w:val="4A6C798B"/>
    <w:rsid w:val="4ABA5EA6"/>
    <w:rsid w:val="4B404E9B"/>
    <w:rsid w:val="4C865315"/>
    <w:rsid w:val="4C9C24C8"/>
    <w:rsid w:val="4D267823"/>
    <w:rsid w:val="4D785452"/>
    <w:rsid w:val="4DB0533F"/>
    <w:rsid w:val="4E157897"/>
    <w:rsid w:val="4E1828E6"/>
    <w:rsid w:val="4E676D33"/>
    <w:rsid w:val="4EEF00E8"/>
    <w:rsid w:val="4F840F57"/>
    <w:rsid w:val="508A1E77"/>
    <w:rsid w:val="51A927D1"/>
    <w:rsid w:val="51C720E3"/>
    <w:rsid w:val="525564B4"/>
    <w:rsid w:val="52EF6540"/>
    <w:rsid w:val="54CD75A5"/>
    <w:rsid w:val="54D062C6"/>
    <w:rsid w:val="557E3F74"/>
    <w:rsid w:val="55E97640"/>
    <w:rsid w:val="560C332E"/>
    <w:rsid w:val="56344FFB"/>
    <w:rsid w:val="565D002E"/>
    <w:rsid w:val="56A96DCF"/>
    <w:rsid w:val="56C333C5"/>
    <w:rsid w:val="57476D14"/>
    <w:rsid w:val="580249E9"/>
    <w:rsid w:val="58FC46E3"/>
    <w:rsid w:val="59CD7278"/>
    <w:rsid w:val="5A3317D1"/>
    <w:rsid w:val="5AD00DCE"/>
    <w:rsid w:val="5AD762E0"/>
    <w:rsid w:val="5B437B30"/>
    <w:rsid w:val="5B736380"/>
    <w:rsid w:val="5B835E40"/>
    <w:rsid w:val="5C294C3A"/>
    <w:rsid w:val="5D5E312E"/>
    <w:rsid w:val="5DD40262"/>
    <w:rsid w:val="5FB23198"/>
    <w:rsid w:val="5FC75478"/>
    <w:rsid w:val="5FD255E8"/>
    <w:rsid w:val="60593F39"/>
    <w:rsid w:val="606A1F22"/>
    <w:rsid w:val="612059E6"/>
    <w:rsid w:val="62E80C7F"/>
    <w:rsid w:val="63984453"/>
    <w:rsid w:val="64805BFE"/>
    <w:rsid w:val="64D37E39"/>
    <w:rsid w:val="65362859"/>
    <w:rsid w:val="6558565D"/>
    <w:rsid w:val="65F93F04"/>
    <w:rsid w:val="6626795D"/>
    <w:rsid w:val="67A510A1"/>
    <w:rsid w:val="681A18DB"/>
    <w:rsid w:val="6864422F"/>
    <w:rsid w:val="68917D64"/>
    <w:rsid w:val="68E63EB3"/>
    <w:rsid w:val="69E95B74"/>
    <w:rsid w:val="6A1D3904"/>
    <w:rsid w:val="6AB37DC4"/>
    <w:rsid w:val="6B39476E"/>
    <w:rsid w:val="6B7C341F"/>
    <w:rsid w:val="6C875BE9"/>
    <w:rsid w:val="6C975BF0"/>
    <w:rsid w:val="6E1F5E9D"/>
    <w:rsid w:val="6E480DD0"/>
    <w:rsid w:val="6EA10F56"/>
    <w:rsid w:val="6ECD299D"/>
    <w:rsid w:val="6FDE3B35"/>
    <w:rsid w:val="70E17322"/>
    <w:rsid w:val="71145A61"/>
    <w:rsid w:val="71A436D8"/>
    <w:rsid w:val="73075151"/>
    <w:rsid w:val="73A70106"/>
    <w:rsid w:val="746960C4"/>
    <w:rsid w:val="74DD260E"/>
    <w:rsid w:val="74EE75BB"/>
    <w:rsid w:val="75003673"/>
    <w:rsid w:val="75B479DD"/>
    <w:rsid w:val="76505574"/>
    <w:rsid w:val="77933457"/>
    <w:rsid w:val="77AE0291"/>
    <w:rsid w:val="77FC0FFD"/>
    <w:rsid w:val="785C79B0"/>
    <w:rsid w:val="78B87D97"/>
    <w:rsid w:val="79585130"/>
    <w:rsid w:val="7AB21E46"/>
    <w:rsid w:val="7C4C62DD"/>
    <w:rsid w:val="7C640AE0"/>
    <w:rsid w:val="7C743857"/>
    <w:rsid w:val="7CFB5D27"/>
    <w:rsid w:val="7D1408F9"/>
    <w:rsid w:val="7D547E6E"/>
    <w:rsid w:val="7DEB18F7"/>
    <w:rsid w:val="7DF010B1"/>
    <w:rsid w:val="7EF96296"/>
    <w:rsid w:val="7F3F3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ody Text"/>
    <w:basedOn w:val="1"/>
    <w:semiHidden/>
    <w:unhideWhenUsed/>
    <w:qFormat/>
    <w:uiPriority w:val="99"/>
    <w:pPr>
      <w:kinsoku w:val="0"/>
      <w:autoSpaceDE w:val="0"/>
      <w:autoSpaceDN w:val="0"/>
      <w:adjustRightInd w:val="0"/>
      <w:snapToGrid w:val="0"/>
      <w:jc w:val="left"/>
      <w:textAlignment w:val="baseline"/>
    </w:pPr>
    <w:rPr>
      <w:rFonts w:hint="eastAsia" w:ascii="仿宋" w:hAnsi="仿宋" w:eastAsia="仿宋"/>
      <w:color w:val="000000"/>
      <w:kern w:val="0"/>
      <w:sz w:val="22"/>
      <w:szCs w:val="22"/>
    </w:rPr>
  </w:style>
  <w:style w:type="paragraph" w:styleId="4">
    <w:name w:val="Balloon Text"/>
    <w:basedOn w:val="1"/>
    <w:link w:val="19"/>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paragraph" w:styleId="8">
    <w:name w:val="Title"/>
    <w:basedOn w:val="1"/>
    <w:next w:val="1"/>
    <w:link w:val="15"/>
    <w:qFormat/>
    <w:uiPriority w:val="10"/>
    <w:pPr>
      <w:spacing w:before="240" w:after="60"/>
      <w:jc w:val="center"/>
      <w:outlineLvl w:val="0"/>
    </w:pPr>
    <w:rPr>
      <w:rFonts w:ascii="Cambria" w:hAnsi="Cambria"/>
      <w:b/>
      <w:bCs/>
      <w:kern w:val="0"/>
      <w:sz w:val="32"/>
      <w:szCs w:val="32"/>
    </w:rPr>
  </w:style>
  <w:style w:type="paragraph" w:styleId="9">
    <w:name w:val="annotation subject"/>
    <w:basedOn w:val="2"/>
    <w:next w:val="2"/>
    <w:link w:val="18"/>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character" w:customStyle="1" w:styleId="15">
    <w:name w:val="标题 Char"/>
    <w:basedOn w:val="11"/>
    <w:link w:val="8"/>
    <w:qFormat/>
    <w:uiPriority w:val="10"/>
    <w:rPr>
      <w:rFonts w:ascii="Cambria" w:hAnsi="Cambria" w:eastAsia="宋体" w:cs="Times New Roman"/>
      <w:b/>
      <w:bCs/>
      <w:kern w:val="0"/>
      <w:sz w:val="32"/>
      <w:szCs w:val="32"/>
    </w:rPr>
  </w:style>
  <w:style w:type="paragraph" w:styleId="16">
    <w:name w:val="List Paragraph"/>
    <w:basedOn w:val="1"/>
    <w:qFormat/>
    <w:uiPriority w:val="0"/>
    <w:pPr>
      <w:ind w:firstLine="420" w:firstLineChars="200"/>
    </w:pPr>
    <w:rPr>
      <w:rFonts w:ascii="Calibri" w:hAnsi="Calibri"/>
      <w:szCs w:val="22"/>
    </w:rPr>
  </w:style>
  <w:style w:type="character" w:customStyle="1" w:styleId="17">
    <w:name w:val="批注文字 Char"/>
    <w:basedOn w:val="11"/>
    <w:link w:val="2"/>
    <w:qFormat/>
    <w:uiPriority w:val="99"/>
    <w:rPr>
      <w:rFonts w:ascii="Times New Roman" w:hAnsi="Times New Roman" w:eastAsia="宋体" w:cs="Times New Roman"/>
      <w:kern w:val="2"/>
      <w:sz w:val="21"/>
      <w:szCs w:val="24"/>
    </w:rPr>
  </w:style>
  <w:style w:type="character" w:customStyle="1" w:styleId="18">
    <w:name w:val="批注主题 Char"/>
    <w:basedOn w:val="17"/>
    <w:link w:val="9"/>
    <w:semiHidden/>
    <w:qFormat/>
    <w:uiPriority w:val="99"/>
    <w:rPr>
      <w:rFonts w:ascii="Times New Roman" w:hAnsi="Times New Roman" w:eastAsia="宋体" w:cs="Times New Roman"/>
      <w:b/>
      <w:bCs/>
      <w:kern w:val="2"/>
      <w:sz w:val="21"/>
      <w:szCs w:val="24"/>
    </w:rPr>
  </w:style>
  <w:style w:type="character" w:customStyle="1" w:styleId="19">
    <w:name w:val="批注框文本 Char"/>
    <w:basedOn w:val="11"/>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820BD-B812-4DDD-9966-4B04E2F7E9CD}">
  <ds:schemaRefs/>
</ds:datastoreItem>
</file>

<file path=docProps/app.xml><?xml version="1.0" encoding="utf-8"?>
<Properties xmlns="http://schemas.openxmlformats.org/officeDocument/2006/extended-properties" xmlns:vt="http://schemas.openxmlformats.org/officeDocument/2006/docPropsVTypes">
  <Template>Normal</Template>
  <Pages>20</Pages>
  <Words>11684</Words>
  <Characters>11958</Characters>
  <Lines>99</Lines>
  <Paragraphs>27</Paragraphs>
  <TotalTime>22</TotalTime>
  <ScaleCrop>false</ScaleCrop>
  <LinksUpToDate>false</LinksUpToDate>
  <CharactersWithSpaces>12114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2022-03-16T07:12:00Z</dcterms:created>
  <dc:creator>Windows 用户</dc:creator>
  <cp:lastModifiedBy>恭喜</cp:lastModifiedBy>
  <dcterms:modified xsi:type="dcterms:W3CDTF">2025-02-10T09:24:57Z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28FAC9A1A4C0415CB7B5E1AA2FC89EE1_13</vt:lpwstr>
  </property>
  <property fmtid="{D5CDD505-2E9C-101B-9397-08002B2CF9AE}" pid="4" name="KSOTemplateDocerSaveRecord">
    <vt:lpwstr>eyJoZGlkIjoiYTI3MDFkMjk5OWE2MzcxMjZiNjkxY2I4ZmI0MWU0OTYiLCJ1c2VySWQiOiIxMDMwNjE3OTk5In0=</vt:lpwstr>
  </property>
</Properties>
</file>