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before="312" w:after="312" w:line="600" w:lineRule="exact"/>
        <w:jc w:val="both"/>
        <w:rPr>
          <w:rFonts w:ascii="新宋体" w:hAnsi="新宋体" w:eastAsia="新宋体" w:cs="新宋体"/>
          <w:b/>
          <w:kern w:val="2"/>
          <w:sz w:val="21"/>
          <w:szCs w:val="21"/>
          <w:lang w:eastAsia="zh-CN"/>
        </w:rPr>
      </w:pPr>
    </w:p>
    <w:p>
      <w:pPr>
        <w:tabs>
          <w:tab w:val="left" w:pos="7905"/>
        </w:tabs>
        <w:suppressAutoHyphens/>
        <w:spacing w:before="312" w:after="312" w:line="600" w:lineRule="exact"/>
        <w:ind w:left="7156" w:leftChars="3157" w:hanging="211" w:hangingChars="100"/>
        <w:rPr>
          <w:rFonts w:ascii="新宋体" w:hAnsi="新宋体" w:eastAsia="新宋体" w:cs="新宋体"/>
          <w:b/>
          <w:kern w:val="2"/>
          <w:sz w:val="28"/>
          <w:szCs w:val="28"/>
          <w:lang w:eastAsia="zh-CN"/>
        </w:rPr>
      </w:pPr>
      <w:r>
        <w:rPr>
          <w:rFonts w:hint="eastAsia" w:ascii="新宋体" w:hAnsi="新宋体" w:eastAsia="新宋体" w:cs="新宋体"/>
          <w:b/>
          <w:kern w:val="2"/>
          <w:sz w:val="21"/>
          <w:szCs w:val="21"/>
          <w:lang w:eastAsia="zh-CN"/>
        </w:rPr>
        <w:t xml:space="preserve">                                                  </w:t>
      </w:r>
      <w:bookmarkStart w:id="6" w:name="_GoBack"/>
      <w:bookmarkEnd w:id="6"/>
      <w:r>
        <w:rPr>
          <w:rFonts w:hint="eastAsia" w:ascii="新宋体" w:hAnsi="新宋体" w:eastAsia="新宋体" w:cs="新宋体"/>
          <w:b/>
          <w:kern w:val="2"/>
          <w:sz w:val="28"/>
          <w:szCs w:val="28"/>
          <w:lang w:eastAsia="zh-CN"/>
        </w:rPr>
        <w:t>NO:</w:t>
      </w:r>
      <w:r>
        <w:rPr>
          <w:rFonts w:hint="eastAsia" w:ascii="新宋体" w:hAnsi="新宋体" w:eastAsia="新宋体" w:cs="新宋体"/>
          <w:b/>
          <w:kern w:val="2"/>
          <w:sz w:val="28"/>
          <w:szCs w:val="28"/>
          <w:u w:val="single"/>
          <w:lang w:eastAsia="zh-CN"/>
        </w:rPr>
        <w:t xml:space="preserve">      </w:t>
      </w:r>
    </w:p>
    <w:p>
      <w:pPr>
        <w:suppressAutoHyphens/>
        <w:jc w:val="center"/>
        <w:rPr>
          <w:rFonts w:ascii="新宋体" w:hAnsi="新宋体" w:eastAsia="新宋体" w:cs="新宋体"/>
          <w:b/>
          <w:kern w:val="2"/>
          <w:sz w:val="52"/>
          <w:szCs w:val="52"/>
          <w:lang w:eastAsia="zh-CN"/>
        </w:rPr>
      </w:pPr>
      <w:r>
        <w:rPr>
          <w:rFonts w:hint="eastAsia" w:ascii="新宋体" w:hAnsi="新宋体" w:eastAsia="新宋体" w:cs="新宋体"/>
          <w:b/>
          <w:kern w:val="2"/>
          <w:sz w:val="52"/>
          <w:szCs w:val="52"/>
          <w:lang w:eastAsia="zh-CN"/>
        </w:rPr>
        <w:t>新生支付有限公司</w:t>
      </w:r>
    </w:p>
    <w:p>
      <w:pPr>
        <w:suppressAutoHyphens/>
        <w:jc w:val="center"/>
        <w:rPr>
          <w:rFonts w:ascii="新宋体" w:hAnsi="新宋体" w:eastAsia="新宋体" w:cs="新宋体"/>
          <w:kern w:val="2"/>
          <w:sz w:val="52"/>
          <w:szCs w:val="52"/>
          <w:lang w:eastAsia="zh-CN"/>
        </w:rPr>
      </w:pPr>
      <w:r>
        <w:rPr>
          <w:rFonts w:hint="eastAsia" w:ascii="新宋体" w:hAnsi="新宋体" w:eastAsia="新宋体" w:cs="新宋体"/>
          <w:b/>
          <w:kern w:val="2"/>
          <w:sz w:val="52"/>
          <w:szCs w:val="52"/>
          <w:lang w:eastAsia="zh-CN"/>
        </w:rPr>
        <w:t>跨境支付服务协议</w:t>
      </w:r>
    </w:p>
    <w:p>
      <w:pPr>
        <w:suppressAutoHyphens/>
        <w:rPr>
          <w:rFonts w:ascii="新宋体" w:hAnsi="新宋体" w:eastAsia="新宋体" w:cs="新宋体"/>
          <w:kern w:val="2"/>
          <w:sz w:val="21"/>
          <w:szCs w:val="21"/>
          <w:lang w:eastAsia="zh-CN"/>
        </w:rPr>
      </w:pPr>
    </w:p>
    <w:p>
      <w:pPr>
        <w:suppressAutoHyphens/>
        <w:spacing w:line="400" w:lineRule="exact"/>
        <w:jc w:val="both"/>
        <w:rPr>
          <w:rFonts w:ascii="新宋体" w:hAnsi="新宋体" w:eastAsia="新宋体" w:cs="新宋体"/>
          <w:kern w:val="2"/>
          <w:sz w:val="21"/>
          <w:szCs w:val="21"/>
          <w:lang w:eastAsia="zh-CN"/>
        </w:rPr>
      </w:pPr>
    </w:p>
    <w:p>
      <w:pPr>
        <w:suppressAutoHyphens/>
        <w:spacing w:line="400" w:lineRule="exact"/>
        <w:jc w:val="both"/>
        <w:rPr>
          <w:rFonts w:ascii="新宋体" w:hAnsi="新宋体" w:eastAsia="新宋体" w:cs="新宋体"/>
          <w:kern w:val="2"/>
          <w:sz w:val="21"/>
          <w:szCs w:val="21"/>
          <w:lang w:eastAsia="zh-CN"/>
        </w:rPr>
      </w:pPr>
    </w:p>
    <w:p>
      <w:pPr>
        <w:suppressAutoHyphens/>
        <w:spacing w:line="400" w:lineRule="exact"/>
        <w:jc w:val="both"/>
        <w:rPr>
          <w:rFonts w:ascii="新宋体" w:hAnsi="新宋体" w:eastAsia="新宋体" w:cs="新宋体"/>
          <w:kern w:val="2"/>
          <w:sz w:val="21"/>
          <w:szCs w:val="21"/>
          <w:lang w:eastAsia="zh-CN"/>
        </w:rPr>
      </w:pPr>
    </w:p>
    <w:p>
      <w:pPr>
        <w:suppressAutoHyphens/>
        <w:spacing w:line="20" w:lineRule="atLeast"/>
        <w:jc w:val="both"/>
        <w:rPr>
          <w:rFonts w:ascii="新宋体" w:hAnsi="新宋体" w:eastAsia="新宋体" w:cs="新宋体"/>
          <w:kern w:val="2"/>
          <w:sz w:val="21"/>
          <w:szCs w:val="21"/>
          <w:lang w:eastAsia="zh-CN"/>
        </w:rPr>
      </w:pPr>
    </w:p>
    <w:p>
      <w:pPr>
        <w:suppressAutoHyphens/>
        <w:spacing w:line="20" w:lineRule="atLeast"/>
        <w:jc w:val="both"/>
        <w:rPr>
          <w:rFonts w:ascii="新宋体" w:hAnsi="新宋体" w:eastAsia="新宋体" w:cs="新宋体"/>
          <w:kern w:val="2"/>
          <w:sz w:val="21"/>
          <w:szCs w:val="21"/>
          <w:lang w:eastAsia="zh-CN"/>
        </w:rPr>
      </w:pPr>
    </w:p>
    <w:p>
      <w:pPr>
        <w:suppressAutoHyphens/>
        <w:spacing w:line="20" w:lineRule="atLeast"/>
        <w:jc w:val="both"/>
        <w:rPr>
          <w:rFonts w:ascii="新宋体" w:hAnsi="新宋体" w:eastAsia="新宋体" w:cs="新宋体"/>
          <w:kern w:val="2"/>
          <w:sz w:val="21"/>
          <w:szCs w:val="21"/>
          <w:lang w:eastAsia="zh-CN"/>
        </w:rPr>
      </w:pPr>
    </w:p>
    <w:p>
      <w:pPr>
        <w:suppressAutoHyphens/>
        <w:spacing w:line="20" w:lineRule="atLeast"/>
        <w:jc w:val="both"/>
        <w:rPr>
          <w:rFonts w:ascii="新宋体" w:hAnsi="新宋体" w:eastAsia="新宋体" w:cs="新宋体"/>
          <w:kern w:val="2"/>
          <w:sz w:val="21"/>
          <w:szCs w:val="21"/>
          <w:lang w:eastAsia="zh-CN"/>
        </w:rPr>
      </w:pPr>
    </w:p>
    <w:p>
      <w:pPr>
        <w:suppressAutoHyphens/>
        <w:spacing w:line="20" w:lineRule="atLeast"/>
        <w:jc w:val="both"/>
        <w:rPr>
          <w:rFonts w:ascii="新宋体" w:hAnsi="新宋体" w:eastAsia="新宋体" w:cs="新宋体"/>
          <w:kern w:val="2"/>
          <w:sz w:val="21"/>
          <w:szCs w:val="21"/>
          <w:lang w:eastAsia="zh-CN"/>
        </w:rPr>
      </w:pPr>
    </w:p>
    <w:p>
      <w:pPr>
        <w:suppressAutoHyphens/>
        <w:spacing w:line="20" w:lineRule="atLeast"/>
        <w:jc w:val="both"/>
        <w:rPr>
          <w:rFonts w:ascii="新宋体" w:hAnsi="新宋体" w:eastAsia="新宋体" w:cs="新宋体"/>
          <w:b/>
          <w:kern w:val="2"/>
          <w:sz w:val="21"/>
          <w:szCs w:val="21"/>
          <w:lang w:eastAsia="zh-CN"/>
        </w:rPr>
      </w:pPr>
    </w:p>
    <w:p>
      <w:pPr>
        <w:suppressAutoHyphens/>
        <w:spacing w:line="400" w:lineRule="exact"/>
        <w:jc w:val="both"/>
        <w:rPr>
          <w:rFonts w:ascii="新宋体" w:hAnsi="新宋体" w:eastAsia="新宋体" w:cs="新宋体"/>
          <w:kern w:val="2"/>
          <w:sz w:val="21"/>
          <w:szCs w:val="21"/>
          <w:lang w:eastAsia="zh-CN"/>
        </w:rPr>
      </w:pPr>
    </w:p>
    <w:p>
      <w:pPr>
        <w:suppressAutoHyphens/>
        <w:spacing w:line="360" w:lineRule="auto"/>
        <w:ind w:firstLine="1273" w:firstLineChars="398"/>
        <w:rPr>
          <w:rFonts w:ascii="新宋体" w:hAnsi="新宋体" w:eastAsia="新宋体" w:cs="新宋体"/>
          <w:kern w:val="2"/>
          <w:sz w:val="32"/>
          <w:szCs w:val="32"/>
          <w:u w:val="single"/>
          <w:lang w:eastAsia="zh-CN"/>
        </w:rPr>
      </w:pPr>
      <w:r>
        <w:rPr>
          <w:rFonts w:hint="eastAsia" w:ascii="新宋体" w:hAnsi="新宋体" w:eastAsia="新宋体" w:cs="新宋体"/>
          <w:kern w:val="2"/>
          <w:sz w:val="32"/>
          <w:szCs w:val="32"/>
          <w:lang w:eastAsia="zh-CN"/>
        </w:rPr>
        <w:t>甲    方：</w:t>
      </w:r>
      <w:r>
        <w:rPr>
          <w:rFonts w:hint="eastAsia" w:ascii="新宋体" w:hAnsi="新宋体" w:eastAsia="新宋体" w:cs="新宋体"/>
          <w:kern w:val="2"/>
          <w:sz w:val="32"/>
          <w:szCs w:val="32"/>
          <w:u w:val="single"/>
          <w:lang w:eastAsia="zh-CN"/>
        </w:rPr>
        <w:t xml:space="preserve">                          </w:t>
      </w:r>
    </w:p>
    <w:p>
      <w:pPr>
        <w:suppressAutoHyphens/>
        <w:spacing w:line="360" w:lineRule="auto"/>
        <w:ind w:firstLine="1273" w:firstLineChars="398"/>
        <w:rPr>
          <w:rFonts w:ascii="新宋体" w:hAnsi="新宋体" w:eastAsia="新宋体" w:cs="新宋体"/>
          <w:kern w:val="2"/>
          <w:sz w:val="32"/>
          <w:szCs w:val="32"/>
          <w:u w:val="single"/>
          <w:lang w:eastAsia="zh-CN"/>
        </w:rPr>
      </w:pPr>
      <w:r>
        <w:rPr>
          <w:rFonts w:hint="eastAsia" w:ascii="新宋体" w:hAnsi="新宋体" w:eastAsia="新宋体" w:cs="新宋体"/>
          <w:kern w:val="2"/>
          <w:sz w:val="32"/>
          <w:szCs w:val="32"/>
          <w:lang w:eastAsia="zh-CN"/>
        </w:rPr>
        <w:t>乙    方：</w:t>
      </w:r>
      <w:r>
        <w:rPr>
          <w:rFonts w:hint="eastAsia" w:ascii="新宋体" w:hAnsi="新宋体" w:eastAsia="新宋体" w:cs="新宋体"/>
          <w:kern w:val="2"/>
          <w:sz w:val="32"/>
          <w:szCs w:val="32"/>
          <w:u w:val="single"/>
          <w:lang w:eastAsia="zh-CN"/>
        </w:rPr>
        <w:t xml:space="preserve"> 新生支付有限公司         </w:t>
      </w:r>
    </w:p>
    <w:p>
      <w:pPr>
        <w:suppressAutoHyphens/>
        <w:spacing w:line="360" w:lineRule="auto"/>
        <w:ind w:firstLine="1273" w:firstLineChars="398"/>
        <w:rPr>
          <w:rFonts w:ascii="新宋体" w:hAnsi="新宋体" w:eastAsia="新宋体" w:cs="新宋体"/>
          <w:kern w:val="2"/>
          <w:sz w:val="32"/>
          <w:szCs w:val="32"/>
          <w:u w:val="single"/>
          <w:lang w:eastAsia="zh-CN"/>
        </w:rPr>
      </w:pPr>
      <w:r>
        <w:rPr>
          <w:rFonts w:hint="eastAsia" w:ascii="新宋体" w:hAnsi="新宋体" w:eastAsia="新宋体" w:cs="新宋体"/>
          <w:kern w:val="2"/>
          <w:sz w:val="32"/>
          <w:szCs w:val="32"/>
          <w:lang w:eastAsia="zh-CN"/>
        </w:rPr>
        <w:t>签约时间：</w:t>
      </w:r>
      <w:r>
        <w:rPr>
          <w:rFonts w:hint="eastAsia" w:ascii="新宋体" w:hAnsi="新宋体" w:eastAsia="新宋体" w:cs="新宋体"/>
          <w:kern w:val="2"/>
          <w:sz w:val="32"/>
          <w:szCs w:val="32"/>
          <w:u w:val="single"/>
          <w:lang w:eastAsia="zh-CN"/>
        </w:rPr>
        <w:t xml:space="preserve">                          </w:t>
      </w:r>
    </w:p>
    <w:p>
      <w:pPr>
        <w:spacing w:line="276" w:lineRule="auto"/>
        <w:ind w:firstLine="420" w:firstLineChars="200"/>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sectPr>
          <w:headerReference r:id="rId3" w:type="default"/>
          <w:footerReference r:id="rId4" w:type="default"/>
          <w:pgSz w:w="11900" w:h="16840"/>
          <w:pgMar w:top="1440" w:right="1800" w:bottom="1440" w:left="1800" w:header="0" w:footer="1196" w:gutter="0"/>
          <w:cols w:space="425" w:num="1"/>
          <w:docGrid w:type="lines" w:linePitch="312" w:charSpace="0"/>
        </w:sectPr>
      </w:pPr>
      <w:r>
        <w:rPr>
          <w:rFonts w:hint="eastAsia" w:ascii="新宋体" w:hAnsi="新宋体" w:eastAsia="新宋体" w:cs="新宋体"/>
          <w:sz w:val="21"/>
          <w:szCs w:val="21"/>
          <w:lang w:eastAsia="zh-CN"/>
        </w:rPr>
        <w:br w:type="page"/>
      </w:r>
    </w:p>
    <w:p>
      <w:pPr>
        <w:spacing w:line="276" w:lineRule="auto"/>
        <w:ind w:firstLine="420" w:firstLineChars="200"/>
        <w:jc w:val="both"/>
        <w:rPr>
          <w:rFonts w:ascii="新宋体" w:hAnsi="新宋体" w:eastAsia="新宋体" w:cs="新宋体"/>
          <w:sz w:val="21"/>
          <w:szCs w:val="21"/>
          <w:lang w:eastAsia="zh-CN"/>
        </w:rPr>
      </w:pPr>
      <w:r>
        <w:rPr>
          <w:rFonts w:hint="eastAsia" w:ascii="新宋体" w:hAnsi="新宋体" w:eastAsia="新宋体" w:cs="新宋体"/>
          <w:sz w:val="21"/>
          <w:szCs w:val="21"/>
          <w:lang w:eastAsia="zh-CN"/>
        </w:rPr>
        <w:t>本协议含专用条款和通用条款两部分，两部分内容都是协议不可分割的组成部分。双方可以选择就乙方提供的一种或多种产品进行合作，如通用条款与专用条款有不一致之处，以专用条款为准。</w:t>
      </w:r>
    </w:p>
    <w:p>
      <w:pPr>
        <w:spacing w:line="276" w:lineRule="auto"/>
        <w:ind w:firstLine="420" w:firstLineChars="200"/>
        <w:jc w:val="both"/>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甲乙双方经友好协商，在平等互利的基础上，依照中华人民共和国法律法规的规定，就乙方为甲方提供跨境支付服务签订本协议，双方具体合作条款如下：</w:t>
      </w:r>
    </w:p>
    <w:p>
      <w:pPr>
        <w:widowControl/>
        <w:jc w:val="center"/>
        <w:rPr>
          <w:rFonts w:ascii="新宋体" w:hAnsi="新宋体" w:eastAsia="新宋体" w:cs="新宋体"/>
          <w:b/>
          <w:sz w:val="21"/>
          <w:szCs w:val="21"/>
          <w:lang w:eastAsia="zh-CN"/>
        </w:rPr>
      </w:pPr>
      <w:r>
        <w:rPr>
          <w:rFonts w:hint="eastAsia" w:ascii="新宋体" w:hAnsi="新宋体" w:eastAsia="新宋体" w:cs="新宋体"/>
          <w:b/>
          <w:spacing w:val="2"/>
          <w:sz w:val="21"/>
          <w:szCs w:val="21"/>
          <w:lang w:eastAsia="zh-CN"/>
        </w:rPr>
        <w:t>通用条款</w:t>
      </w:r>
    </w:p>
    <w:p>
      <w:pPr>
        <w:pStyle w:val="15"/>
        <w:tabs>
          <w:tab w:val="left" w:pos="7828"/>
          <w:tab w:val="left" w:pos="8991"/>
        </w:tabs>
        <w:spacing w:line="276" w:lineRule="auto"/>
        <w:rPr>
          <w:rFonts w:ascii="新宋体" w:hAnsi="新宋体" w:eastAsia="新宋体" w:cs="新宋体"/>
          <w:sz w:val="21"/>
          <w:szCs w:val="21"/>
          <w:lang w:eastAsia="zh-CN"/>
        </w:rPr>
      </w:pPr>
    </w:p>
    <w:p>
      <w:pPr>
        <w:pStyle w:val="15"/>
        <w:numPr>
          <w:ilvl w:val="0"/>
          <w:numId w:val="1"/>
        </w:numPr>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甲方资质标准</w:t>
      </w:r>
    </w:p>
    <w:p>
      <w:pPr>
        <w:pStyle w:val="15"/>
        <w:tabs>
          <w:tab w:val="left" w:pos="7828"/>
          <w:tab w:val="left" w:pos="8991"/>
        </w:tabs>
        <w:spacing w:line="276" w:lineRule="auto"/>
        <w:ind w:firstLine="420" w:firstLineChars="200"/>
        <w:jc w:val="both"/>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（一）甲方须按照乙方要求提供相应准入资质认证资料，并加盖企业公章后提交乙方审核。</w:t>
      </w:r>
    </w:p>
    <w:p>
      <w:pPr>
        <w:pStyle w:val="15"/>
        <w:tabs>
          <w:tab w:val="left" w:pos="7828"/>
          <w:tab w:val="left" w:pos="8991"/>
        </w:tabs>
        <w:spacing w:line="276" w:lineRule="auto"/>
        <w:ind w:firstLine="420" w:firstLineChars="200"/>
        <w:jc w:val="both"/>
        <w:rPr>
          <w:rFonts w:ascii="新宋体" w:hAnsi="新宋体" w:eastAsia="新宋体" w:cs="新宋体"/>
          <w:sz w:val="21"/>
          <w:szCs w:val="21"/>
          <w:lang w:eastAsia="zh-CN"/>
        </w:rPr>
      </w:pPr>
      <w:r>
        <w:rPr>
          <w:rFonts w:hint="eastAsia" w:ascii="新宋体" w:hAnsi="新宋体" w:eastAsia="新宋体" w:cs="新宋体"/>
          <w:sz w:val="21"/>
          <w:szCs w:val="21"/>
          <w:lang w:eastAsia="zh-CN"/>
        </w:rPr>
        <w:t>（二）甲方依法注册并合法存续，具备签订和履行本协议所需的完全民事权利能力和行为能力；</w:t>
      </w:r>
    </w:p>
    <w:p>
      <w:pPr>
        <w:pStyle w:val="15"/>
        <w:tabs>
          <w:tab w:val="left" w:pos="7828"/>
          <w:tab w:val="left" w:pos="8991"/>
        </w:tabs>
        <w:spacing w:line="276" w:lineRule="auto"/>
        <w:ind w:firstLine="420" w:firstLineChars="200"/>
        <w:jc w:val="both"/>
        <w:rPr>
          <w:rFonts w:ascii="新宋体" w:hAnsi="新宋体" w:eastAsia="新宋体" w:cs="新宋体"/>
          <w:sz w:val="21"/>
          <w:szCs w:val="21"/>
          <w:lang w:eastAsia="zh-CN"/>
        </w:rPr>
      </w:pPr>
      <w:r>
        <w:rPr>
          <w:rFonts w:hint="eastAsia" w:ascii="新宋体" w:hAnsi="新宋体" w:eastAsia="新宋体" w:cs="新宋体"/>
          <w:sz w:val="21"/>
          <w:szCs w:val="21"/>
          <w:lang w:eastAsia="zh-CN"/>
        </w:rPr>
        <w:t>（三）甲方已经或将会取得签订和履行本协议所需的一切有关批准、许可、备案或者登记；</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（四）签署和履行本协议系基于甲方的真实意思表示，已经按照企业章程或者其它内部管理文件的要求取得合法、有效的授权，且不违反对甲方有约束力的任何协议、合同和其他法律文件；</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（五）甲方在本合同项下向乙方提供的全部文件、凭证等资料是真实、完整、准确和有效的；</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（六）甲方未向乙方隐瞒可能影响其财务状况和履约能力的事件。</w:t>
      </w:r>
    </w:p>
    <w:p>
      <w:pPr>
        <w:pStyle w:val="15"/>
        <w:numPr>
          <w:ilvl w:val="0"/>
          <w:numId w:val="1"/>
        </w:numPr>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合同双方的权利与义务</w:t>
      </w:r>
    </w:p>
    <w:p>
      <w:pPr>
        <w:pStyle w:val="15"/>
        <w:tabs>
          <w:tab w:val="left" w:pos="7828"/>
          <w:tab w:val="left" w:pos="8991"/>
        </w:tabs>
        <w:spacing w:line="276" w:lineRule="auto"/>
        <w:ind w:firstLine="422" w:firstLineChars="200"/>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（一）甲方的权利及义务</w:t>
      </w:r>
    </w:p>
    <w:p>
      <w:pPr>
        <w:pStyle w:val="15"/>
        <w:numPr>
          <w:ilvl w:val="0"/>
          <w:numId w:val="2"/>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须按照乙方要求填写真实信息、完成实名认证、开通并激活支付账户，并妥善保管账号、密码及安全认证工具。甲方的支付账号、密码是乙方识别甲方身份及指令的唯一标识，乙方严格按照甲方提交的操作指令进行操作，所有基于甲方账户成功登陆后进行的操作，均视为甲方授权的操作行为。因甲方保管、使用、维护账号及密码不当造成的损失，由甲方自行承担相关责任。</w:t>
      </w:r>
    </w:p>
    <w:p>
      <w:pPr>
        <w:pStyle w:val="15"/>
        <w:numPr>
          <w:ilvl w:val="0"/>
          <w:numId w:val="2"/>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不得将乙方提供的电子支付服务用于约定网站之外的其他网站，或允许其他网站通过甲方备案网站跳转等途径使用乙方提供的电子支付服务。甲方不得将乙方提供的本协议项下的接口与服务私自转接给第三方使用。</w:t>
      </w:r>
    </w:p>
    <w:p>
      <w:pPr>
        <w:pStyle w:val="15"/>
        <w:numPr>
          <w:ilvl w:val="0"/>
          <w:numId w:val="2"/>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甲方按照乙方规定的接口规范、数据格式等技术标准，完成双方信息系统对接，并保证将其电子交易指令准确完整地向乙方发送。如甲方要求标准接口外的额外定制产品及服务，须承担相关开发费用。</w:t>
      </w:r>
    </w:p>
    <w:p>
      <w:pPr>
        <w:pStyle w:val="15"/>
        <w:numPr>
          <w:ilvl w:val="0"/>
          <w:numId w:val="2"/>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甲方使用乙方的支付服务时，应确保自身发出支付指令的合法性、真实性、有效性和完整性。乙方按甲方支付指令完成操作后，相关资金的任何风险和责任由甲方承担。</w:t>
      </w:r>
    </w:p>
    <w:p>
      <w:pPr>
        <w:pStyle w:val="15"/>
        <w:numPr>
          <w:ilvl w:val="0"/>
          <w:numId w:val="2"/>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如甲方发生企业法人、经营范围、注册资本、注册地址等重要资质信息变更时，须在变更后5个工作日以书面（加盖企业公章）形式通知乙方，并按乙方要求提供相应最新资质。甲方变更以上信息未及时通知乙方的，乙方有权立即终止本协议，由此造成的后果及损失由甲方自行承担。</w:t>
      </w:r>
    </w:p>
    <w:p>
      <w:pPr>
        <w:pStyle w:val="15"/>
        <w:numPr>
          <w:ilvl w:val="0"/>
          <w:numId w:val="2"/>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如甲方业务联系人、通讯地址、约定域名/网址等相关信息发生变更，应在变更后5个工作日内将变更内容告知乙方业务人员。如涉及结算账号变更，甲方应以书面形式向乙方提出变更申请，乙方以接到甲方书面通知时间为准按更新账号进行结算。如因甲方未及时将变更申请提交乙方导致的款项结算延迟、结算账号错误及相关信息无法按时送达等情形，由此造成的相关损失由甲方自行承担。</w:t>
      </w:r>
    </w:p>
    <w:p>
      <w:pPr>
        <w:ind w:firstLine="417" w:firstLineChars="199"/>
        <w:rPr>
          <w:rFonts w:ascii="新宋体" w:hAnsi="新宋体" w:eastAsia="新宋体" w:cs="新宋体"/>
          <w:sz w:val="21"/>
          <w:szCs w:val="21"/>
          <w:lang w:eastAsia="zh-CN"/>
        </w:rPr>
      </w:pPr>
      <w:r>
        <w:rPr>
          <w:rFonts w:hint="eastAsia" w:ascii="新宋体" w:hAnsi="新宋体" w:eastAsia="新宋体" w:cs="新宋体"/>
          <w:sz w:val="21"/>
          <w:szCs w:val="21"/>
          <w:lang w:eastAsia="zh-CN"/>
        </w:rPr>
        <w:t>7.甲方不得利用乙方提供的服务从事以及涉嫌参与洗钱、恐怖融资、博彩、色情、 毒品、走私、诈骗、销售管制品、违禁品、假冒产品等违法、违规行为；以及销售不被市场普遍接受、不可对价或定价机制不清晰、交易内容涉及风险隐患较大的商品等违反双方约定的销售活动。因甲方网站信息违背真实性、完整性、时效性而引起的投诉、纠纷，以及所造成的损失及后果，均由甲方自行承担。在发生用户否认交易的情况时，由甲方负责受理用户投诉及用户资金损失的先行赔付责任。</w:t>
      </w:r>
    </w:p>
    <w:p>
      <w:pPr>
        <w:pStyle w:val="15"/>
        <w:numPr>
          <w:ilvl w:val="255"/>
          <w:numId w:val="0"/>
        </w:num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8.若交易过程中出现涉嫌洗钱、恐怖融资等违法犯罪行为，或发生用户信息被盗、网络诈骗等用户权益遭到恶意侵害的风险事件，需要协助监管部门查明原因或采取强制措施的，甲方有义务在乙方规定时限内按照监管部门指示提供所涉及客户资料、交易信息等材料，并配合乙方或监管部门暂停为可疑账户提供服务，否则乙方有权采取暂缓清结算、止付所涉及交易款项等措施，并有权追索因甲方拒不配合引起的一切损失及后果。</w:t>
      </w:r>
    </w:p>
    <w:p>
      <w:pPr>
        <w:pStyle w:val="15"/>
        <w:numPr>
          <w:ilvl w:val="255"/>
          <w:numId w:val="0"/>
        </w:num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9.甲方（包括甲方雇员、其合作机构及雇员等）不得截取、私自留存或向第三方泄露客户的银行账户信息；不得以伪造、虚假的客户账户信息向乙方发出支付请求；不得以用户名义提交订单或发出任何指令，否则因此而引起的损失及后果由甲方自行承担。</w:t>
      </w:r>
    </w:p>
    <w:p>
      <w:pPr>
        <w:pStyle w:val="15"/>
        <w:numPr>
          <w:ilvl w:val="255"/>
          <w:numId w:val="0"/>
        </w:num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10.甲方须在防范盗用账户信息、网络诈骗、洗钱等各类交易风险方面加强管理，同时乙方有权要求甲方在其网站通过设置交易限额等措施控制风险事件的发生。若甲方网站发生风险事件，乙方可依据风险严重程度要求甲方进行整改或及时采取补救措施。若甲方未能及时整改或采取有效措施，乙方有权单方面解除合同，并要求甲方赔偿由此引起的一切损失。</w:t>
      </w:r>
    </w:p>
    <w:p>
      <w:pPr>
        <w:pStyle w:val="15"/>
        <w:numPr>
          <w:ilvl w:val="255"/>
          <w:numId w:val="0"/>
        </w:num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11.甲方不得对乙方的支付服务系统和程序采取反向工程手段进行破解，不得对上述系统和程序（包括但不限于源程序、目标程序、软件文档、运行在本地电脑内存中的数据、客户端至服务器端的数据、服务器数据等）进行复制、修改、编译、整合和篡改，不得修改或增加乙方支付服务系统的原有功能。</w:t>
      </w:r>
    </w:p>
    <w:p>
      <w:pPr>
        <w:pStyle w:val="15"/>
        <w:numPr>
          <w:ilvl w:val="255"/>
          <w:numId w:val="0"/>
        </w:num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12.甲方须对交易信息、交易单据、通讯记录等交易材料、数据留存</w:t>
      </w:r>
      <w:r>
        <w:rPr>
          <w:rFonts w:hint="eastAsia" w:ascii="新宋体" w:hAnsi="新宋体" w:eastAsia="新宋体" w:cs="新宋体"/>
          <w:color w:val="000000" w:themeColor="text1"/>
          <w:sz w:val="21"/>
          <w:szCs w:val="21"/>
          <w:lang w:eastAsia="zh-CN"/>
          <w14:textFill>
            <w14:solidFill>
              <w14:schemeClr w14:val="tx1"/>
            </w14:solidFill>
          </w14:textFill>
        </w:rPr>
        <w:t>五年</w:t>
      </w:r>
      <w:r>
        <w:rPr>
          <w:rFonts w:hint="eastAsia" w:ascii="新宋体" w:hAnsi="新宋体" w:eastAsia="新宋体" w:cs="新宋体"/>
          <w:sz w:val="21"/>
          <w:szCs w:val="21"/>
          <w:lang w:eastAsia="zh-CN"/>
        </w:rPr>
        <w:t>以上，在监管部门调查时，甲方有义务按要求提供上述材料、数据。甲方承诺，乙方有权在必要时将其交易信息提供给乙方的合作金融机构或监管部门进行核查。</w:t>
      </w:r>
    </w:p>
    <w:p>
      <w:pPr>
        <w:pStyle w:val="15"/>
        <w:numPr>
          <w:ilvl w:val="255"/>
          <w:numId w:val="0"/>
        </w:num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 xml:space="preserve">13.甲方如将乙方服务用于电子商务网站运营，须在甲方网站的支付页面（网上收银台）的显著位置嵌入乙方提供的 LOGO 图形链接及乙方提供的乙方网站上的用户帮助页面的链接，并标注甲方的具体联系方式；若甲方未标注其详细、准确的联系方式，发生交易纠纷时，乙方有权将甲方的联系方式告知甲方用户。       </w:t>
      </w:r>
    </w:p>
    <w:p>
      <w:pPr>
        <w:ind w:firstLine="417" w:firstLineChars="199"/>
        <w:rPr>
          <w:rFonts w:ascii="新宋体" w:hAnsi="新宋体" w:eastAsia="新宋体" w:cs="新宋体"/>
          <w:sz w:val="21"/>
          <w:szCs w:val="21"/>
          <w:lang w:eastAsia="zh-CN"/>
        </w:rPr>
      </w:pPr>
      <w:r>
        <w:rPr>
          <w:rFonts w:hint="eastAsia" w:ascii="新宋体" w:hAnsi="新宋体" w:eastAsia="新宋体" w:cs="新宋体"/>
          <w:sz w:val="21"/>
          <w:szCs w:val="21"/>
          <w:lang w:eastAsia="zh-CN"/>
        </w:rPr>
        <w:t>14.甲方不得利用乙方的支付服务从事任何非法行为，不得违反中国法律、法规、规章、规范性文件及政策，不得侵犯他人的合法权益，不得实施任何违反公序良俗和诚实信用的行为。如甲方是中国大陆地区以外的特约商户，还需同时遵守其所属国家或地区的法律。</w:t>
      </w:r>
    </w:p>
    <w:p>
      <w:pPr>
        <w:ind w:firstLine="417" w:firstLineChars="199"/>
        <w:rPr>
          <w:rFonts w:ascii="新宋体" w:hAnsi="新宋体" w:eastAsia="新宋体" w:cs="新宋体"/>
          <w:sz w:val="21"/>
          <w:szCs w:val="21"/>
          <w:lang w:eastAsia="zh-CN"/>
        </w:rPr>
      </w:pPr>
      <w:r>
        <w:rPr>
          <w:rFonts w:hint="eastAsia" w:ascii="新宋体" w:hAnsi="新宋体" w:eastAsia="新宋体" w:cs="新宋体"/>
          <w:sz w:val="21"/>
          <w:szCs w:val="21"/>
          <w:lang w:eastAsia="zh-CN"/>
        </w:rPr>
        <w:t>15.甲方同意乙方有权依据相关法律法规，按照监管部门/乙方合作银行或机构的要求，将其相关交易信息提供给监管部门/乙方合作银行或机构进行核查；甲方承诺严格履行监管机构要求的反洗钱义务，对用户身份按监管要求进行识别，并与乙方共享该用户身份识别的相关资料，协助乙方履行反洗钱相关义务。</w:t>
      </w:r>
    </w:p>
    <w:p>
      <w:pPr>
        <w:ind w:firstLine="417" w:firstLineChars="199"/>
        <w:rPr>
          <w:rFonts w:ascii="新宋体" w:hAnsi="新宋体" w:eastAsia="新宋体" w:cs="新宋体"/>
          <w:sz w:val="21"/>
          <w:szCs w:val="21"/>
          <w:lang w:eastAsia="zh-CN"/>
        </w:rPr>
      </w:pPr>
      <w:r>
        <w:rPr>
          <w:rFonts w:hint="eastAsia" w:ascii="新宋体" w:hAnsi="新宋体" w:eastAsia="新宋体" w:cs="新宋体"/>
          <w:sz w:val="21"/>
          <w:szCs w:val="21"/>
          <w:lang w:eastAsia="zh-CN"/>
        </w:rPr>
        <w:t>16.甲方有义务向其客户披露本服务涉及的资金账户之间的资金划拨等网上交易所涉及的相关手续和业务规则；在本协议有效期内，甲方应在其前端销售平台合适位置展示乙方与甲方用户的《新生支付有限公司跨境支付服务协议》；甲方应确保在用户通过其前端销售平台使用乙方提供的网络支付服务时，用户已知悉并签署《新生支付有限公司跨境支付服务协议》。如甲方用户系通过与甲方存在合作的第三方的平台完成交易，甲方应确保与其用户就其业务服务订有相关协议。</w:t>
      </w:r>
    </w:p>
    <w:p>
      <w:pPr>
        <w:pStyle w:val="15"/>
        <w:tabs>
          <w:tab w:val="left" w:pos="7828"/>
          <w:tab w:val="left" w:pos="8991"/>
        </w:tabs>
        <w:spacing w:line="276" w:lineRule="auto"/>
        <w:ind w:firstLine="422" w:firstLineChars="200"/>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（二）乙方的权利和义务</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乙方有义务向甲方提供必要的数据传输接口与文档；协助甲方安装电子支付服务接口，提供安全、稳定、便捷的电子支付服务；并在甲方使用支付系统过程中出现问题时及时进行技术支援与维护。</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乙方将根据其支付系统或银行系统升级、维护、检修等需要，做出暂停电子支付服务的安排。维护实施前，乙方将在其网站对所安排事项及维护期限等内容进行公示。</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若甲方或甲方客户违反乙方服务规定条款，乙方有权拒绝为其提供服务，且乙方无需向甲方及其客户承担任何责任。</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乙方有义务解决因其电子支付服务出现问题而导致的投诉与纠纷。</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乙方对甲方身份资料及支付信息负有保密义务，乙方不得利用甲方的上述信息从事超出法律许可及未经甲方授权的活动。</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color w:val="000000" w:themeColor="text1"/>
          <w:sz w:val="21"/>
          <w:szCs w:val="21"/>
          <w:lang w:eastAsia="zh-CN"/>
          <w14:textFill>
            <w14:solidFill>
              <w14:schemeClr w14:val="tx1"/>
            </w14:solidFill>
          </w14:textFill>
        </w:rPr>
        <w:t>乙方需按照国内外监管机构及法律法规的要求，保护甲乙双方合作期内获得的甲方身份基本信息、支付业务信息、会计档案等资料的安全，防止其被篡改、灭失、损毁或泄露。</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乙方因下列情况未能成功提供电子支付服务的，不承担相应责任：</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1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⑴</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非乙方原因造成的，对甲方发出的电子支付指令未能成功接收的情况；</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2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⑵</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支付指令信息不明，存在乱码、内容缺失等情形；</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3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⑶</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甲方客户的银行账户余额或信用额度不足以支付应付金额的情形；</w:t>
      </w:r>
    </w:p>
    <w:p>
      <w:pPr>
        <w:tabs>
          <w:tab w:val="left" w:pos="7828"/>
          <w:tab w:val="left" w:pos="8991"/>
        </w:tabs>
        <w:spacing w:line="276" w:lineRule="auto"/>
        <w:ind w:firstLine="420" w:firstLineChars="200"/>
        <w:rPr>
          <w:rFonts w:ascii="新宋体" w:hAnsi="新宋体" w:eastAsia="新宋体" w:cs="新宋体"/>
          <w:sz w:val="21"/>
          <w:szCs w:val="21"/>
          <w:lang w:eastAsia="zh-CN"/>
        </w:rPr>
      </w:pPr>
      <w:bookmarkStart w:id="0" w:name="OLE_LINK4"/>
      <w:bookmarkStart w:id="1" w:name="OLE_LINK3"/>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4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⑷</w:t>
      </w:r>
      <w:r>
        <w:rPr>
          <w:rFonts w:hint="eastAsia" w:ascii="新宋体" w:hAnsi="新宋体" w:eastAsia="新宋体" w:cs="新宋体"/>
          <w:sz w:val="21"/>
          <w:szCs w:val="21"/>
          <w:lang w:eastAsia="zh-CN"/>
        </w:rPr>
        <w:fldChar w:fldCharType="end"/>
      </w:r>
      <w:bookmarkEnd w:id="0"/>
      <w:bookmarkEnd w:id="1"/>
      <w:r>
        <w:rPr>
          <w:rFonts w:hint="eastAsia" w:ascii="新宋体" w:hAnsi="新宋体" w:eastAsia="新宋体" w:cs="新宋体"/>
          <w:sz w:val="21"/>
          <w:szCs w:val="21"/>
          <w:lang w:eastAsia="zh-CN"/>
        </w:rPr>
        <w:t>甲方客户银行账户状态异常，导致支付无法完成的情形；</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5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⑸</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因银行系统异常、网络故障等原因导致支付无法完成的情形；</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6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⑹</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其他非乙方原因所导致的支付无法完成的情况。</w:t>
      </w:r>
    </w:p>
    <w:p>
      <w:pPr>
        <w:pStyle w:val="15"/>
        <w:numPr>
          <w:ilvl w:val="0"/>
          <w:numId w:val="3"/>
        </w:numPr>
        <w:tabs>
          <w:tab w:val="left" w:pos="7828"/>
          <w:tab w:val="left" w:pos="8991"/>
        </w:tabs>
        <w:spacing w:line="276" w:lineRule="auto"/>
        <w:ind w:left="0" w:firstLine="567"/>
        <w:rPr>
          <w:rFonts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乙方有权根据监管部门要求，对甲方所开展业务交易的真实性进行核实，甲方须积极配合,提供与业务有关的交易信息，包括但不限于交易双方身份、账户及银行信息、交易项目详细内容等，并由乙方对上述信息进行核实。如发现甲方涉嫌虚假交易操作，乙方有权冻结甲方待处理交易款项，并暂停为甲方提供相关服务。</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乙方具有对可疑、非法与违规交易等风险类交易的独立判断权。当出现下列情况，乙方有权对甲方采取冻结账户、调整限额、暂停服务、止付相关交易款项等限制性措施；对于所造成的乙方损失，乙方有权向甲方进行追偿：</w:t>
      </w:r>
    </w:p>
    <w:p>
      <w:pPr>
        <w:tabs>
          <w:tab w:val="left" w:pos="7828"/>
          <w:tab w:val="left" w:pos="8991"/>
        </w:tabs>
        <w:spacing w:line="276" w:lineRule="auto"/>
        <w:ind w:firstLine="420" w:firstLineChars="200"/>
        <w:rPr>
          <w:rFonts w:ascii="新宋体" w:hAnsi="新宋体" w:eastAsia="新宋体" w:cs="新宋体"/>
          <w:sz w:val="21"/>
          <w:szCs w:val="21"/>
          <w:lang w:eastAsia="zh-CN"/>
        </w:rPr>
      </w:pPr>
      <w:bookmarkStart w:id="2" w:name="OLE_LINK9"/>
      <w:bookmarkStart w:id="3" w:name="OLE_LINK8"/>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1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⑴</w:t>
      </w:r>
      <w:r>
        <w:rPr>
          <w:rFonts w:hint="eastAsia" w:ascii="新宋体" w:hAnsi="新宋体" w:eastAsia="新宋体" w:cs="新宋体"/>
          <w:sz w:val="21"/>
          <w:szCs w:val="21"/>
          <w:lang w:eastAsia="zh-CN"/>
        </w:rPr>
        <w:fldChar w:fldCharType="end"/>
      </w:r>
      <w:bookmarkEnd w:id="2"/>
      <w:bookmarkEnd w:id="3"/>
      <w:r>
        <w:rPr>
          <w:rFonts w:hint="eastAsia" w:ascii="新宋体" w:hAnsi="新宋体" w:eastAsia="新宋体" w:cs="新宋体"/>
          <w:sz w:val="21"/>
          <w:szCs w:val="21"/>
          <w:lang w:eastAsia="zh-CN"/>
        </w:rPr>
        <w:t>乙方根据风险防范机制判定甲方存在可疑、非法与违规交易等风险类交易的情况；</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2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⑵</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银行账户持有人向甲方、乙方或开户银行提出异议，认为存在非本人行为或非经本人授权操作行为的情形；</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3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⑶</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乙方应监管部门或银行风控要求强制中止甲方交易的情形；</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4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⑷</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乙方认为可能存在风险隐患的其他情况。</w:t>
      </w:r>
    </w:p>
    <w:p>
      <w:pPr>
        <w:pStyle w:val="15"/>
        <w:numPr>
          <w:ilvl w:val="0"/>
          <w:numId w:val="3"/>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若甲方对乙方的账务处理存在疑议，须以书面形式向乙方申请查询，乙方在收到甲方书面查询申请后的5个工作日内予以回复。</w:t>
      </w:r>
    </w:p>
    <w:p>
      <w:pPr>
        <w:pStyle w:val="15"/>
        <w:numPr>
          <w:ilvl w:val="0"/>
          <w:numId w:val="3"/>
        </w:numPr>
        <w:tabs>
          <w:tab w:val="left" w:pos="7828"/>
          <w:tab w:val="left" w:pos="8991"/>
        </w:tabs>
        <w:spacing w:line="276" w:lineRule="auto"/>
        <w:ind w:left="0" w:firstLine="567"/>
        <w:rPr>
          <w:rFonts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甲方有义务对交易主体进行实名认证，乙方有权根据监管部门要求，对交易主体实名信息进行核实，并对照风控重点“关注名单”进行审核，凡未通过实名验证或已被列入“关注名单”的用户，乙方有权拒绝为其提供服务。</w:t>
      </w:r>
    </w:p>
    <w:p>
      <w:pPr>
        <w:pStyle w:val="15"/>
        <w:numPr>
          <w:ilvl w:val="0"/>
          <w:numId w:val="3"/>
        </w:numPr>
        <w:tabs>
          <w:tab w:val="left" w:pos="7828"/>
          <w:tab w:val="left" w:pos="8991"/>
        </w:tabs>
        <w:spacing w:line="276" w:lineRule="auto"/>
        <w:ind w:left="0" w:firstLine="567"/>
        <w:rPr>
          <w:rFonts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本协议中涉及乙方对甲方的消费者、用户或第三方的服务, 是乙方履行对甲方义务的行为, 并不构成对甲方的消费者、用户或第三方的任何承诺, 甲方的消费者、用户或第三方不因此而获得对乙方的直接请求权。</w:t>
      </w:r>
    </w:p>
    <w:p>
      <w:pPr>
        <w:pStyle w:val="15"/>
        <w:numPr>
          <w:ilvl w:val="0"/>
          <w:numId w:val="1"/>
        </w:numPr>
        <w:tabs>
          <w:tab w:val="left" w:pos="7828"/>
          <w:tab w:val="left" w:pos="8991"/>
        </w:tabs>
        <w:spacing w:line="276" w:lineRule="auto"/>
        <w:rPr>
          <w:rFonts w:ascii="新宋体" w:hAnsi="新宋体" w:eastAsia="新宋体" w:cs="新宋体"/>
          <w:b/>
          <w:color w:val="000000" w:themeColor="text1"/>
          <w:sz w:val="21"/>
          <w:szCs w:val="21"/>
          <w:lang w:eastAsia="zh-CN"/>
          <w14:textFill>
            <w14:solidFill>
              <w14:schemeClr w14:val="tx1"/>
            </w14:solidFill>
          </w14:textFill>
        </w:rPr>
      </w:pPr>
      <w:r>
        <w:rPr>
          <w:rFonts w:hint="eastAsia" w:ascii="新宋体" w:hAnsi="新宋体" w:eastAsia="新宋体" w:cs="新宋体"/>
          <w:b/>
          <w:color w:val="000000" w:themeColor="text1"/>
          <w:sz w:val="21"/>
          <w:szCs w:val="21"/>
          <w:lang w:eastAsia="zh-CN"/>
          <w14:textFill>
            <w14:solidFill>
              <w14:schemeClr w14:val="tx1"/>
            </w14:solidFill>
          </w14:textFill>
        </w:rPr>
        <w:t>退款处理</w:t>
      </w:r>
    </w:p>
    <w:p>
      <w:pPr>
        <w:pStyle w:val="15"/>
        <w:numPr>
          <w:ilvl w:val="0"/>
          <w:numId w:val="4"/>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甲方对使用乙方电子支付服务付款的客户进行退款的，应当通过原收款路径进行退款，此部分资金在乙方存放期间不产生利息。</w:t>
      </w:r>
    </w:p>
    <w:p>
      <w:pPr>
        <w:pStyle w:val="15"/>
        <w:numPr>
          <w:ilvl w:val="0"/>
          <w:numId w:val="4"/>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因甲方或甲方用户原因发起退款时，因人民币支付交易所产生的手续费由甲方自行承担；如因汇率变动导致的一切退款损失由甲方自行承担；因退款所造成的所有跨境资金收付费用由甲方自行承担。乙方有权在业务资金中扣除上述退款相关费用，同时将相关费用明细告知甲方。</w:t>
      </w:r>
    </w:p>
    <w:p>
      <w:pPr>
        <w:pStyle w:val="15"/>
        <w:numPr>
          <w:ilvl w:val="0"/>
          <w:numId w:val="4"/>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为了防止客户利用虚假交易、撤销交易等方式套取银行卡资金，甲方不得进行线下退款（如向客户其他账户内汇入资金或支付现金等），若发生特殊情况不能按原收款路径退回的，经乙方充分核实客户身份后可退回至客户其他账户，但原交易手续费不予退回。</w:t>
      </w:r>
    </w:p>
    <w:p>
      <w:pPr>
        <w:pStyle w:val="15"/>
        <w:numPr>
          <w:ilvl w:val="0"/>
          <w:numId w:val="4"/>
        </w:numPr>
        <w:tabs>
          <w:tab w:val="left" w:pos="7828"/>
          <w:tab w:val="left" w:pos="8991"/>
        </w:tabs>
        <w:spacing w:line="276" w:lineRule="auto"/>
        <w:ind w:left="0" w:firstLine="56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向乙方提出退款申请的，应向乙方提供足额退款金额或由乙方从后续交易款项中扣划足额的退款金额。因甲方未向乙方提供足额退款金额或后续交易款项不足以支付退款金额致使乙方无法进行退款而产生的一切纠纷及损失由甲方自行承担。</w:t>
      </w:r>
    </w:p>
    <w:p>
      <w:pPr>
        <w:pStyle w:val="15"/>
        <w:numPr>
          <w:ilvl w:val="0"/>
          <w:numId w:val="4"/>
        </w:numPr>
        <w:tabs>
          <w:tab w:val="left" w:pos="7828"/>
          <w:tab w:val="left" w:pos="8991"/>
        </w:tabs>
        <w:spacing w:line="276" w:lineRule="auto"/>
        <w:ind w:left="0" w:firstLine="560"/>
        <w:rPr>
          <w:rFonts w:ascii="新宋体" w:hAnsi="新宋体" w:eastAsia="新宋体" w:cs="新宋体"/>
          <w:sz w:val="21"/>
          <w:szCs w:val="21"/>
          <w:lang w:eastAsia="zh-CN"/>
        </w:rPr>
      </w:pPr>
      <w:bookmarkStart w:id="4" w:name="OLE_LINK6"/>
      <w:bookmarkStart w:id="5" w:name="OLE_LINK5"/>
      <w:r>
        <w:rPr>
          <w:rFonts w:hint="eastAsia" w:ascii="新宋体" w:hAnsi="新宋体" w:eastAsia="新宋体" w:cs="新宋体"/>
          <w:sz w:val="21"/>
          <w:szCs w:val="21"/>
          <w:lang w:eastAsia="zh-CN"/>
        </w:rPr>
        <w:t>乙方接到投诉后，如发生以下几种情况，乙方有权采取强制退款措施将原交易款项退回：</w:t>
      </w:r>
    </w:p>
    <w:bookmarkEnd w:id="4"/>
    <w:bookmarkEnd w:id="5"/>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1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⑴</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无法与甲方取得联系的；</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2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⑵</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甲方未按监管机构要求提供交易资料的；</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3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⑶</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甲方在合理期限内未能解决纠纷的；</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4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⑷</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交易存在明显风险问题的；</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 5 \* GB2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⑸</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其他乙方认为存在交易风险的情况。</w:t>
      </w:r>
    </w:p>
    <w:p>
      <w:pPr>
        <w:pStyle w:val="15"/>
        <w:numPr>
          <w:ilvl w:val="0"/>
          <w:numId w:val="1"/>
        </w:numPr>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风险保证金</w:t>
      </w:r>
    </w:p>
    <w:p>
      <w:pPr>
        <w:pStyle w:val="15"/>
        <w:numPr>
          <w:ilvl w:val="0"/>
          <w:numId w:val="5"/>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甲乙双方约定，甲方如需缴纳风险保证金的，甲方须在本协议签订后10个工作日内按照约定金额一次性足额缴纳完毕。保证金足额缴纳完毕后，相关业务方可正式开通上线运营。</w:t>
      </w:r>
    </w:p>
    <w:p>
      <w:pPr>
        <w:pStyle w:val="15"/>
        <w:numPr>
          <w:ilvl w:val="0"/>
          <w:numId w:val="5"/>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本协议终止日起的 180 天内，甲方不得对风险保证金余额进行支取。在此之后，若经乙方认定，甲方不存在违法、违规行为或因甲方原因导致的争议、纠纷等情形，乙方在确认后将保证金余额无息返还至甲方账户。</w:t>
      </w:r>
    </w:p>
    <w:p>
      <w:pPr>
        <w:pStyle w:val="15"/>
        <w:numPr>
          <w:ilvl w:val="0"/>
          <w:numId w:val="5"/>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如发生下列情况，乙方有权直接扣除上述保证金：</w:t>
      </w:r>
    </w:p>
    <w:p>
      <w:pPr>
        <w:pStyle w:val="15"/>
        <w:numPr>
          <w:ilvl w:val="0"/>
          <w:numId w:val="6"/>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在交易中，如甲方涉嫌违法、违规或违反本协议约定操作而对第三方造成损失的， 乙方有权根据损失情况，直接扣除保证金对第三方进行赔付。</w:t>
      </w:r>
    </w:p>
    <w:p>
      <w:pPr>
        <w:pStyle w:val="15"/>
        <w:numPr>
          <w:ilvl w:val="0"/>
          <w:numId w:val="6"/>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如甲方违反本协议有关规定，并因此对乙方造成任何损失，乙方有权直接从保证金中扣除损失补偿，并有权要求甲方承担因其违约所造成的一切后果。</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在上述情况下，甲方须负责承担由此引起的全部损失及责任，对于保证金不足补偿的部分，甲方须按乙方的要求及时进行补偿，同时补足保证金原有额度，否则乙方有权从后续结算资金中直接扣除相关款项。</w:t>
      </w:r>
    </w:p>
    <w:p>
      <w:pPr>
        <w:pStyle w:val="15"/>
        <w:numPr>
          <w:ilvl w:val="0"/>
          <w:numId w:val="5"/>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乙方有权根据甲方业务整体运作、风险管理状况；甲方违约、被投诉次数；以及甲方涉嫌网络欺诈、银行或司法行政机关调查、外部环境变化等情况，对甲方的风险保证金额度作相应调整，乙方将在调整前 5 个工作日通知甲方，甲方须按照通知内容所述的风险保证金执行，在规定时间内向乙方足额补充风险保证金。</w:t>
      </w:r>
    </w:p>
    <w:p>
      <w:pPr>
        <w:pStyle w:val="15"/>
        <w:numPr>
          <w:ilvl w:val="0"/>
          <w:numId w:val="1"/>
        </w:numPr>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保密条款</w:t>
      </w:r>
    </w:p>
    <w:p>
      <w:pPr>
        <w:pStyle w:val="15"/>
        <w:keepNext w:val="0"/>
        <w:keepLines w:val="0"/>
        <w:pageBreakBefore w:val="0"/>
        <w:widowControl w:val="0"/>
        <w:numPr>
          <w:ilvl w:val="0"/>
          <w:numId w:val="0"/>
        </w:numPr>
        <w:tabs>
          <w:tab w:val="left" w:pos="7828"/>
          <w:tab w:val="left" w:pos="8991"/>
        </w:tabs>
        <w:kinsoku/>
        <w:wordWrap/>
        <w:overflowPunct/>
        <w:topLinePunct w:val="0"/>
        <w:autoSpaceDE/>
        <w:autoSpaceDN/>
        <w:bidi w:val="0"/>
        <w:adjustRightInd/>
        <w:snapToGrid/>
        <w:spacing w:line="276" w:lineRule="auto"/>
        <w:ind w:firstLine="420" w:firstLineChars="200"/>
        <w:textAlignment w:val="auto"/>
        <w:rPr>
          <w:rFonts w:ascii="新宋体" w:hAnsi="新宋体" w:eastAsia="新宋体" w:cs="新宋体"/>
          <w:sz w:val="21"/>
          <w:szCs w:val="21"/>
          <w:lang w:eastAsia="zh-CN"/>
        </w:rPr>
      </w:pP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一</w:t>
      </w:r>
      <w:r>
        <w:rPr>
          <w:rFonts w:hint="eastAsia" w:ascii="新宋体" w:hAnsi="新宋体" w:eastAsia="新宋体" w:cs="新宋体"/>
          <w:sz w:val="21"/>
          <w:szCs w:val="21"/>
          <w:lang w:eastAsia="zh-CN"/>
        </w:rPr>
        <w:t>）甲乙双方承诺，对在执行本协议过程中所获悉的，属于对方且无法从公开渠道获得的文件及资料（包括公司计划、运营信息、协议费率、接口文档、银行账户信息、商户信息以及其他涉密内容等）予以保密。未经原提供方同意，另一方不得向任何第三方泄露上述文件与资料的全部或部分内容。但法律、法规另有规定或双方另有约定的除外。</w:t>
      </w:r>
    </w:p>
    <w:p>
      <w:pPr>
        <w:keepNext w:val="0"/>
        <w:keepLines w:val="0"/>
        <w:pageBreakBefore w:val="0"/>
        <w:widowControl w:val="0"/>
        <w:kinsoku/>
        <w:wordWrap/>
        <w:overflowPunct/>
        <w:topLinePunct w:val="0"/>
        <w:autoSpaceDE/>
        <w:autoSpaceDN/>
        <w:bidi w:val="0"/>
        <w:adjustRightInd/>
        <w:snapToGrid/>
        <w:spacing w:line="276" w:lineRule="auto"/>
        <w:ind w:right="-653" w:rightChars="-297" w:firstLine="420" w:firstLineChars="200"/>
        <w:textAlignment w:val="auto"/>
        <w:rPr>
          <w:rFonts w:asciiTheme="minorEastAsia" w:hAnsiTheme="minorEastAsia"/>
          <w:sz w:val="21"/>
          <w:szCs w:val="21"/>
          <w:lang w:eastAsia="zh-CN"/>
        </w:rPr>
      </w:pPr>
      <w:r>
        <w:rPr>
          <w:rFonts w:hint="eastAsia" w:asciiTheme="minorEastAsia" w:hAnsiTheme="minorEastAsia"/>
          <w:sz w:val="21"/>
          <w:szCs w:val="21"/>
          <w:lang w:eastAsia="zh-CN"/>
        </w:rPr>
        <w:t>1.合作过程中，收集个人信息时，严格遵循合法、合理原则，不收集与工作无关的信息或采取不正当方式收集信息。</w:t>
      </w:r>
    </w:p>
    <w:p>
      <w:pPr>
        <w:keepNext w:val="0"/>
        <w:keepLines w:val="0"/>
        <w:pageBreakBefore w:val="0"/>
        <w:widowControl w:val="0"/>
        <w:kinsoku/>
        <w:wordWrap/>
        <w:overflowPunct/>
        <w:topLinePunct w:val="0"/>
        <w:autoSpaceDE/>
        <w:autoSpaceDN/>
        <w:bidi w:val="0"/>
        <w:adjustRightInd/>
        <w:snapToGrid/>
        <w:spacing w:line="276" w:lineRule="auto"/>
        <w:ind w:right="-653" w:rightChars="-297" w:firstLine="420" w:firstLineChars="200"/>
        <w:textAlignment w:val="auto"/>
        <w:rPr>
          <w:rFonts w:asciiTheme="minorEastAsia" w:hAnsiTheme="minorEastAsia"/>
          <w:sz w:val="21"/>
          <w:szCs w:val="21"/>
          <w:lang w:eastAsia="zh-CN"/>
        </w:rPr>
      </w:pPr>
      <w:r>
        <w:rPr>
          <w:rFonts w:hint="eastAsia" w:asciiTheme="minorEastAsia" w:hAnsiTheme="minorEastAsia"/>
          <w:sz w:val="21"/>
          <w:szCs w:val="21"/>
          <w:lang w:val="en-US" w:eastAsia="zh-CN"/>
        </w:rPr>
        <w:t>2</w:t>
      </w:r>
      <w:r>
        <w:rPr>
          <w:rFonts w:hint="eastAsia" w:asciiTheme="minorEastAsia" w:hAnsiTheme="minorEastAsia"/>
          <w:sz w:val="21"/>
          <w:szCs w:val="21"/>
          <w:lang w:eastAsia="zh-CN"/>
        </w:rPr>
        <w:t>.收集、保存、使用、对外提供个人信息时，严格遵守法律规定，采取有效措施加强个人信息保护，确保信息安全，防止信息泄露和滥用。</w:t>
      </w:r>
    </w:p>
    <w:p>
      <w:pPr>
        <w:keepNext w:val="0"/>
        <w:keepLines w:val="0"/>
        <w:pageBreakBefore w:val="0"/>
        <w:widowControl w:val="0"/>
        <w:kinsoku/>
        <w:wordWrap/>
        <w:overflowPunct/>
        <w:topLinePunct w:val="0"/>
        <w:autoSpaceDE/>
        <w:autoSpaceDN/>
        <w:bidi w:val="0"/>
        <w:adjustRightInd/>
        <w:snapToGrid/>
        <w:spacing w:line="276" w:lineRule="auto"/>
        <w:ind w:right="-653" w:rightChars="-297" w:firstLine="420" w:firstLineChars="200"/>
        <w:textAlignment w:val="auto"/>
        <w:rPr>
          <w:rFonts w:asciiTheme="minorEastAsia" w:hAnsiTheme="minorEastAsia"/>
          <w:sz w:val="21"/>
          <w:szCs w:val="21"/>
          <w:lang w:eastAsia="zh-CN"/>
        </w:rPr>
      </w:pPr>
      <w:r>
        <w:rPr>
          <w:rFonts w:hint="eastAsia" w:asciiTheme="minorEastAsia" w:hAnsiTheme="minorEastAsia"/>
          <w:sz w:val="21"/>
          <w:szCs w:val="21"/>
          <w:lang w:val="en-US" w:eastAsia="zh-CN"/>
        </w:rPr>
        <w:t>3</w:t>
      </w:r>
      <w:r>
        <w:rPr>
          <w:rFonts w:hint="eastAsia" w:asciiTheme="minorEastAsia" w:hAnsiTheme="minorEastAsia"/>
          <w:sz w:val="21"/>
          <w:szCs w:val="21"/>
          <w:lang w:eastAsia="zh-CN"/>
        </w:rPr>
        <w:t>.不将个人信息用于营销，对外提供等作为与他人建立利益关系的先决条件，但如工作关系的性质决定需要必须预先取得相关授权或同意。</w:t>
      </w:r>
    </w:p>
    <w:p>
      <w:pPr>
        <w:keepNext w:val="0"/>
        <w:keepLines w:val="0"/>
        <w:pageBreakBefore w:val="0"/>
        <w:widowControl w:val="0"/>
        <w:kinsoku/>
        <w:wordWrap/>
        <w:overflowPunct/>
        <w:topLinePunct w:val="0"/>
        <w:autoSpaceDE/>
        <w:autoSpaceDN/>
        <w:bidi w:val="0"/>
        <w:adjustRightInd/>
        <w:snapToGrid/>
        <w:spacing w:line="276" w:lineRule="auto"/>
        <w:ind w:right="-653" w:rightChars="-297" w:firstLine="420" w:firstLineChars="200"/>
        <w:textAlignment w:val="auto"/>
        <w:rPr>
          <w:rFonts w:asciiTheme="minorEastAsia" w:hAnsiTheme="minorEastAsia"/>
          <w:sz w:val="21"/>
          <w:szCs w:val="21"/>
          <w:lang w:eastAsia="zh-CN"/>
        </w:rPr>
      </w:pPr>
      <w:r>
        <w:rPr>
          <w:rFonts w:hint="eastAsia" w:asciiTheme="minorEastAsia" w:hAnsiTheme="minorEastAsia"/>
          <w:sz w:val="21"/>
          <w:szCs w:val="21"/>
          <w:lang w:val="en-US" w:eastAsia="zh-CN"/>
        </w:rPr>
        <w:t>4</w:t>
      </w:r>
      <w:r>
        <w:rPr>
          <w:rFonts w:hint="eastAsia" w:asciiTheme="minorEastAsia" w:hAnsiTheme="minorEastAsia"/>
          <w:sz w:val="21"/>
          <w:szCs w:val="21"/>
          <w:lang w:eastAsia="zh-CN"/>
        </w:rPr>
        <w:t>.不篡改和出售个人信息。</w:t>
      </w:r>
    </w:p>
    <w:p>
      <w:pPr>
        <w:keepNext w:val="0"/>
        <w:keepLines w:val="0"/>
        <w:pageBreakBefore w:val="0"/>
        <w:widowControl w:val="0"/>
        <w:kinsoku/>
        <w:wordWrap/>
        <w:overflowPunct/>
        <w:topLinePunct w:val="0"/>
        <w:autoSpaceDE/>
        <w:autoSpaceDN/>
        <w:bidi w:val="0"/>
        <w:adjustRightInd/>
        <w:snapToGrid/>
        <w:spacing w:line="276" w:lineRule="auto"/>
        <w:ind w:right="-653" w:rightChars="-297" w:firstLine="420" w:firstLineChars="200"/>
        <w:textAlignment w:val="auto"/>
        <w:rPr>
          <w:rFonts w:asciiTheme="minorEastAsia" w:hAnsiTheme="minorEastAsia"/>
          <w:sz w:val="21"/>
          <w:szCs w:val="21"/>
          <w:lang w:eastAsia="zh-CN"/>
        </w:rPr>
      </w:pP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.不违规通过中国人民银行征信系统、支付系统以及其他系统查询或滥用个人信息。</w:t>
      </w:r>
    </w:p>
    <w:p>
      <w:pPr>
        <w:keepNext w:val="0"/>
        <w:keepLines w:val="0"/>
        <w:pageBreakBefore w:val="0"/>
        <w:widowControl w:val="0"/>
        <w:kinsoku/>
        <w:wordWrap/>
        <w:overflowPunct/>
        <w:topLinePunct w:val="0"/>
        <w:autoSpaceDE/>
        <w:autoSpaceDN/>
        <w:bidi w:val="0"/>
        <w:adjustRightInd/>
        <w:snapToGrid/>
        <w:spacing w:line="276" w:lineRule="auto"/>
        <w:ind w:right="-653" w:rightChars="-297" w:firstLine="420" w:firstLineChars="200"/>
        <w:textAlignment w:val="auto"/>
        <w:rPr>
          <w:rFonts w:ascii="新宋体" w:hAnsi="新宋体" w:eastAsia="新宋体" w:cs="新宋体"/>
          <w:sz w:val="21"/>
          <w:szCs w:val="21"/>
          <w:lang w:eastAsia="zh-CN"/>
        </w:rPr>
      </w:pPr>
      <w:r>
        <w:rPr>
          <w:rFonts w:hint="eastAsia" w:asciiTheme="minorEastAsia" w:hAnsiTheme="minorEastAsia"/>
          <w:sz w:val="21"/>
          <w:szCs w:val="21"/>
          <w:lang w:val="en-US" w:eastAsia="zh-CN"/>
        </w:rPr>
        <w:t>6</w:t>
      </w:r>
      <w:r>
        <w:rPr>
          <w:rFonts w:hint="eastAsia" w:asciiTheme="minorEastAsia" w:hAnsiTheme="minorEastAsia"/>
          <w:sz w:val="21"/>
          <w:szCs w:val="21"/>
          <w:lang w:eastAsia="zh-CN"/>
        </w:rPr>
        <w:t>.如违反规定使用和对外提供个人信息，</w:t>
      </w:r>
      <w:r>
        <w:rPr>
          <w:rFonts w:hint="eastAsia" w:asciiTheme="minorEastAsia" w:hAnsiTheme="minorEastAsia"/>
          <w:sz w:val="21"/>
          <w:szCs w:val="21"/>
          <w:lang w:val="en-US" w:eastAsia="zh-CN"/>
        </w:rPr>
        <w:t>对</w:t>
      </w:r>
      <w:r>
        <w:rPr>
          <w:rFonts w:hint="eastAsia" w:asciiTheme="minorEastAsia" w:hAnsiTheme="minorEastAsia"/>
          <w:sz w:val="21"/>
          <w:szCs w:val="21"/>
          <w:lang w:eastAsia="zh-CN"/>
        </w:rPr>
        <w:t>单位或个人造成损害的，愿意承担相关法律责任并赔偿损失。</w:t>
      </w:r>
    </w:p>
    <w:p>
      <w:pPr>
        <w:pStyle w:val="15"/>
        <w:keepNext w:val="0"/>
        <w:keepLines w:val="0"/>
        <w:pageBreakBefore w:val="0"/>
        <w:widowControl w:val="0"/>
        <w:numPr>
          <w:ilvl w:val="0"/>
          <w:numId w:val="7"/>
        </w:numPr>
        <w:tabs>
          <w:tab w:val="left" w:pos="7828"/>
          <w:tab w:val="left" w:pos="8991"/>
        </w:tabs>
        <w:kinsoku/>
        <w:wordWrap/>
        <w:overflowPunct/>
        <w:topLinePunct w:val="0"/>
        <w:autoSpaceDE/>
        <w:autoSpaceDN/>
        <w:bidi w:val="0"/>
        <w:adjustRightInd/>
        <w:snapToGrid/>
        <w:spacing w:line="276" w:lineRule="auto"/>
        <w:ind w:left="0" w:firstLine="567"/>
        <w:textAlignment w:val="auto"/>
        <w:rPr>
          <w:rFonts w:ascii="新宋体" w:hAnsi="新宋体" w:eastAsia="新宋体" w:cs="新宋体"/>
          <w:sz w:val="21"/>
          <w:szCs w:val="21"/>
          <w:lang w:eastAsia="zh-CN"/>
        </w:rPr>
      </w:pPr>
      <w:r>
        <w:rPr>
          <w:rFonts w:hint="eastAsia" w:ascii="新宋体" w:hAnsi="新宋体" w:eastAsia="新宋体" w:cs="新宋体"/>
          <w:sz w:val="21"/>
          <w:szCs w:val="21"/>
          <w:lang w:eastAsia="zh-CN"/>
        </w:rPr>
        <w:t>保密信息不包括：</w:t>
      </w:r>
    </w:p>
    <w:p>
      <w:pPr>
        <w:pStyle w:val="15"/>
        <w:numPr>
          <w:ilvl w:val="0"/>
          <w:numId w:val="8"/>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在一方传递给对方时已被公众掌握的信息或材料；</w:t>
      </w:r>
    </w:p>
    <w:p>
      <w:pPr>
        <w:pStyle w:val="15"/>
        <w:numPr>
          <w:ilvl w:val="0"/>
          <w:numId w:val="8"/>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在一方传递给对方时已被对方通过合法途径依法掌握的信息或材料，且当时对方并不负有任何保密义务。</w:t>
      </w:r>
    </w:p>
    <w:p>
      <w:pPr>
        <w:pStyle w:val="15"/>
        <w:numPr>
          <w:ilvl w:val="0"/>
          <w:numId w:val="7"/>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保密条款不适用范围：</w:t>
      </w:r>
    </w:p>
    <w:p>
      <w:pPr>
        <w:pStyle w:val="15"/>
        <w:numPr>
          <w:ilvl w:val="0"/>
          <w:numId w:val="9"/>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纯粹因一方为履行本协议项下义务的目的而合理使用或披露保密信息的，但在披露之前须以书面形式征得对方同意；</w:t>
      </w:r>
    </w:p>
    <w:p>
      <w:pPr>
        <w:pStyle w:val="15"/>
        <w:numPr>
          <w:ilvl w:val="0"/>
          <w:numId w:val="9"/>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依据法律或具备法律效力的指令要求而使用或披露保密条款的情形。</w:t>
      </w:r>
    </w:p>
    <w:p>
      <w:pPr>
        <w:pStyle w:val="15"/>
        <w:numPr>
          <w:ilvl w:val="0"/>
          <w:numId w:val="7"/>
        </w:numPr>
        <w:tabs>
          <w:tab w:val="left" w:pos="7828"/>
          <w:tab w:val="left" w:pos="8991"/>
        </w:tabs>
        <w:spacing w:line="276" w:lineRule="auto"/>
        <w:ind w:left="0" w:firstLine="567"/>
        <w:rPr>
          <w:rFonts w:ascii="新宋体" w:hAnsi="新宋体" w:eastAsia="新宋体" w:cs="新宋体"/>
          <w:sz w:val="21"/>
          <w:szCs w:val="21"/>
          <w:lang w:eastAsia="zh-CN"/>
        </w:rPr>
      </w:pPr>
      <w:r>
        <w:rPr>
          <w:rFonts w:hint="eastAsia" w:ascii="新宋体" w:hAnsi="新宋体" w:eastAsia="新宋体" w:cs="新宋体"/>
          <w:sz w:val="21"/>
          <w:szCs w:val="21"/>
          <w:lang w:eastAsia="zh-CN"/>
        </w:rPr>
        <w:t>本协议项下的保密义务具有独立性，且不因本协议的失效、提前终止、解除而失效，须继续保有至少为期五年的持续效力。对于违反保密条款义务的一方，协议另一方随时保有向其追索由此引发的一切损失及责任的权利。</w:t>
      </w:r>
    </w:p>
    <w:p>
      <w:pPr>
        <w:pStyle w:val="15"/>
        <w:numPr>
          <w:ilvl w:val="0"/>
          <w:numId w:val="1"/>
        </w:numPr>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违约责任</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（一）甲乙双方任何一方违反上述相关条款，均视为违约。违约方须对另一方承担因其违约造成的一切损失及后果。</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二）任何一方因违法、违规经营，恶意侵害用户权益等违约行为所引起的任何行政处罚、民事纠纷，以及其他法律责任，均由违约方自行承担。由此对另一方造成的一切损失，由违约方负责全部赔偿。同时，另一方有权因其违约行为随时解除本协议。</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（三）任何一方因未及时、妥善处理与用户之间的投诉和纠纷，导致另一方的声誉和形象受到损害，并因此造成任何损失的，过失方须负责承担由此引起的一切责任。同时，另一方有权因此解除本协议。</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四）因用户非法操作、银行系统异常、网络故障、不可抗力因素或其他非协议双方原因，导致任何一方不能及时履行本协议规定义务的，所涉及的一方无需承担相关的法律责任，但有义务与另一方共同采取有效措施避免或减少因此产生的负面影响及损失。</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（五）如甲方向乙方提供的资料存在虚假内容、误导性陈述或者重大隐瞒等情况，视为违约行为，乙方有权因此解除本协议，并要求甲方负责承担由此造成的全部损失。</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六）协议期间，甲方如利用乙方提供的支付服务从事或涉嫌参与洗钱、恐怖融资或扩散（大规模杀伤性武器）融资、赌博、色情、毒品、走私、网络诈骗等犯罪活动，或从事销售管制品、违禁品、假冒产品等违法、违规行为的，乙方有权对其采取暂停提供服务、冻结账户、止付所涉及交易款项、上报监管部门等措施，并有权立即终止本协议且不承担任何责任。同时对于因甲方上述行为导致的乙方及所涉及的第三方损失，乙方有权从未结算款项及风险保证金中直接扣减予以补偿，对于不足抵扣部分，甲方须按乙方要求及时予以补足，否则乙方有权通过法律等途径进行追偿。</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前款所述洗钱、恐怖融资或扩散（大规模杀伤性武器）融资等活动，是指联合国安理会、反洗钱金融行动特别工作组、中国、美国、欧盟等国际组织或国家认定的洗钱、恐怖融资或扩散（大规模杀伤性武器）融资行为。</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（七）如由乙方合作银行或机构出现违反国内外监管规定及法律法规，或因自身原因造成风险的情形，所涉损失由合作银行或机构承担，乙方不承担先行垫付义务。</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八）甲方如未按约定及时支付服务费用，乙方有权暂停为其提供服务，并有权从未结算款项中直接扣除未支付费用；未结算款项不足扣减的部分，甲方须按乙方要求及时进行补足，乙方同时保有向甲方追索违约责任的权利。</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九）依据本协议约定的解除或终止协议条款内容，乙方已收取的成功交易服务费用不再退还，甲乙双方在本协议解除后60个工作日后对甲方的剩余资金进行清算，但配合司法等部门进行冻结等处理行为的除外。如因用户投诉导致的协议解除，甲方需将所有用户投诉处理完毕，否则清算将顺延至用户投诉处理完毕后进行。</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Theme="minorEastAsia" w:hAnsiTheme="minorEastAsia"/>
          <w:sz w:val="21"/>
          <w:szCs w:val="21"/>
          <w:lang w:eastAsia="zh-CN"/>
        </w:rPr>
        <w:t xml:space="preserve"> </w:t>
      </w:r>
      <w:r>
        <w:rPr>
          <w:rFonts w:hint="eastAsia" w:ascii="新宋体" w:hAnsi="新宋体" w:eastAsia="新宋体" w:cs="新宋体"/>
          <w:sz w:val="21"/>
          <w:szCs w:val="21"/>
          <w:lang w:eastAsia="zh-CN"/>
        </w:rPr>
        <w:t>（十）甲方应当赔偿因违约而给乙方造成的所有损失，包括但不限于：法律诉讼费用、合理的律师酬金和费用、所有损失或损害等等。</w:t>
      </w:r>
    </w:p>
    <w:p>
      <w:pPr>
        <w:pStyle w:val="15"/>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第七条 风险提示与特别约定</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支付账户所记录的资金余额不同于甲方本人的银行存款，不受《存款保险条例》保护，其实质为甲方委托乙方保管的、所有权归属于甲方的预付价值。该预付价值对应的货币资金虽然属于甲方，但不以甲方本人名义存放在银行，而是以乙方名义存放在银行，并且由乙方向银行发起资金调拨指令。</w:t>
      </w:r>
    </w:p>
    <w:p>
      <w:pPr>
        <w:pStyle w:val="15"/>
        <w:tabs>
          <w:tab w:val="left" w:pos="7828"/>
          <w:tab w:val="left" w:pos="8991"/>
        </w:tabs>
        <w:spacing w:line="276" w:lineRule="auto"/>
        <w:ind w:firstLine="420" w:firstLineChars="200"/>
        <w:rPr>
          <w:rFonts w:ascii="新宋体" w:hAnsi="新宋体" w:eastAsia="新宋体" w:cs="新宋体"/>
          <w:b/>
          <w:sz w:val="21"/>
          <w:szCs w:val="21"/>
          <w:lang w:eastAsia="zh-CN"/>
        </w:rPr>
      </w:pPr>
      <w:r>
        <w:rPr>
          <w:rFonts w:hint="eastAsia" w:ascii="新宋体" w:hAnsi="新宋体" w:eastAsia="新宋体" w:cs="新宋体"/>
          <w:sz w:val="21"/>
          <w:szCs w:val="21"/>
          <w:lang w:eastAsia="zh-CN"/>
        </w:rPr>
        <w:t>（二）甲方充分知悉，乙方仅提供支付相关服务，甲方应承担使用支付服务时其资金的货币贬值、汇率波动等风险。</w:t>
      </w:r>
    </w:p>
    <w:p>
      <w:pPr>
        <w:pStyle w:val="15"/>
        <w:tabs>
          <w:tab w:val="left" w:pos="7828"/>
          <w:tab w:val="left" w:pos="8991"/>
        </w:tabs>
        <w:spacing w:line="276" w:lineRule="auto"/>
        <w:ind w:firstLine="420" w:firstLineChars="200"/>
        <w:rPr>
          <w:rFonts w:ascii="新宋体" w:hAnsi="新宋体" w:eastAsia="新宋体" w:cs="新宋体"/>
          <w:b/>
          <w:sz w:val="21"/>
          <w:szCs w:val="21"/>
          <w:lang w:eastAsia="zh-CN"/>
        </w:rPr>
      </w:pPr>
      <w:r>
        <w:rPr>
          <w:rFonts w:hint="eastAsia" w:ascii="新宋体" w:hAnsi="新宋体" w:eastAsia="新宋体" w:cs="新宋体"/>
          <w:sz w:val="21"/>
          <w:szCs w:val="21"/>
          <w:lang w:eastAsia="zh-CN"/>
        </w:rPr>
        <w:t>（三）甲方充分知悉，网上交易有风险，甲方与他人因网上交易产生的商品或服务质量、数量、交易金额、交货时间等纠纷及损失，应由甲方独立承担责任。</w:t>
      </w:r>
    </w:p>
    <w:p>
      <w:pPr>
        <w:pStyle w:val="15"/>
        <w:tabs>
          <w:tab w:val="left" w:pos="7828"/>
          <w:tab w:val="left" w:pos="8991"/>
        </w:tabs>
        <w:spacing w:line="276" w:lineRule="auto"/>
        <w:ind w:firstLine="420" w:firstLineChars="200"/>
        <w:rPr>
          <w:rFonts w:ascii="新宋体" w:hAnsi="新宋体" w:eastAsia="新宋体" w:cs="新宋体"/>
          <w:b/>
          <w:sz w:val="21"/>
          <w:szCs w:val="21"/>
          <w:lang w:eastAsia="zh-CN"/>
        </w:rPr>
      </w:pPr>
      <w:r>
        <w:rPr>
          <w:rFonts w:hint="eastAsia" w:ascii="新宋体" w:hAnsi="新宋体" w:eastAsia="新宋体" w:cs="新宋体"/>
          <w:sz w:val="21"/>
          <w:szCs w:val="21"/>
          <w:lang w:eastAsia="zh-CN"/>
        </w:rPr>
        <w:t>（四）甲方对乙方所提示的风险和列示措施、说明完全理解和同意，承诺采取相关风险防范措施以尽量避免或减小风险，甲方自愿承担交易风险及损失。</w:t>
      </w:r>
    </w:p>
    <w:p>
      <w:pPr>
        <w:pStyle w:val="15"/>
        <w:tabs>
          <w:tab w:val="left" w:pos="7828"/>
          <w:tab w:val="left" w:pos="8991"/>
        </w:tabs>
        <w:spacing w:line="276" w:lineRule="auto"/>
        <w:ind w:firstLine="420" w:firstLineChars="200"/>
        <w:rPr>
          <w:rFonts w:ascii="新宋体" w:hAnsi="新宋体" w:eastAsia="新宋体" w:cs="新宋体"/>
          <w:b/>
          <w:sz w:val="21"/>
          <w:szCs w:val="21"/>
          <w:lang w:eastAsia="zh-CN"/>
        </w:rPr>
      </w:pPr>
      <w:r>
        <w:rPr>
          <w:rFonts w:hint="eastAsia" w:ascii="新宋体" w:hAnsi="新宋体" w:eastAsia="新宋体" w:cs="新宋体"/>
          <w:sz w:val="21"/>
          <w:szCs w:val="21"/>
          <w:lang w:eastAsia="zh-CN"/>
        </w:rPr>
        <w:t>（五）如甲方不按照支付提示操作、未及时进行支付操作、遗忘或泄露密码、密码被他人破解、甲方使用的手机或计算机等终端被他人侵入等原因导致甲方遭受损失的，甲方应自行承担责任。</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六）甲方不得利用乙方提供的服务进行任何形式的洗钱、虚假交易、资金非法套现及其他违法行为。若乙方发现甲方违反本约定的，乙方可立即暂停、中止或终止支付服务，向公安部门报案，且将相关信息报送有关部门。</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七）甲方同意在推广数字人民币产品阶段，乙方按照国家政策及市场变化对本协议做出单方面补充及终止，如甲方有违反所有协议内未约束到的条款和国家政策等有关规定，给乙方带来资损或产生的任何法律责任由甲方承担。</w:t>
      </w:r>
    </w:p>
    <w:p>
      <w:pPr>
        <w:pStyle w:val="15"/>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第八条 不可抗力</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不可抗力指双方在订立协议时不能预见、对其发生和后果不能避免且不能克服的事件。若因不可抗力致使一方未能全部或部分履行本协议不构成违约，本协议内受影响之条款可在不能履行之期间及受影响之范围内中止履行。</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（二）因不可抗力、监管政策变化或者其他意外事件导致本协议的履行不可能、不必要或者无意义的，双方可以协商解除本协议。</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（三）任何一方因受到不可抗力影响而无法正常履行合同义务的，须及时以书面形式通知对方，并与协议另一方共同采取有效措施避免或减轻因事件影响而给对方带来的损失，同时须在发出书面通知后的 10 个工作日内提供关于受到不可抗力事件影响的证明材料。</w:t>
      </w:r>
    </w:p>
    <w:p>
      <w:pPr>
        <w:pStyle w:val="15"/>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第九条 争议的处理</w:t>
      </w:r>
    </w:p>
    <w:p>
      <w:pPr>
        <w:ind w:firstLine="420" w:firstLineChars="200"/>
        <w:rPr>
          <w:rFonts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（一）本协议及附件的订立、解释、履行、效力等均适用中华人民共和国法律。（香港特别行政区、澳门特别行政区和台湾地区的法律除外），冲突法规则除外。</w:t>
      </w:r>
    </w:p>
    <w:p>
      <w:pPr>
        <w:ind w:firstLine="420" w:firstLineChars="200"/>
        <w:rPr>
          <w:rFonts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（二）如果本协议任何条款根据现行法律被确定为无效或无法实施，本协议的其他所有条款应继续执行。此种情况下，双方将修改无效条款，修改后的条款须尽可能接近原约定和本协议相应的精神和宗旨。</w:t>
      </w:r>
    </w:p>
    <w:p>
      <w:pPr>
        <w:ind w:firstLine="420" w:firstLineChars="200"/>
        <w:rPr>
          <w:rFonts w:ascii="新宋体" w:hAnsi="新宋体" w:eastAsia="新宋体" w:cs="新宋体"/>
          <w:sz w:val="21"/>
          <w:szCs w:val="21"/>
          <w:lang w:eastAsia="zh-CN"/>
        </w:rPr>
      </w:pPr>
      <w:r>
        <w:rPr>
          <w:rFonts w:hint="eastAsia" w:ascii="新宋体" w:hAnsi="新宋体" w:eastAsia="新宋体" w:cs="新宋体"/>
          <w:color w:val="000000" w:themeColor="text1"/>
          <w:sz w:val="21"/>
          <w:szCs w:val="21"/>
          <w:lang w:eastAsia="zh-CN"/>
          <w14:textFill>
            <w14:solidFill>
              <w14:schemeClr w14:val="tx1"/>
            </w14:solidFill>
          </w14:textFill>
        </w:rPr>
        <w:t>（三）凡由本协</w:t>
      </w:r>
      <w:r>
        <w:rPr>
          <w:rFonts w:hint="eastAsia" w:ascii="新宋体" w:hAnsi="新宋体" w:eastAsia="新宋体" w:cs="新宋体"/>
          <w:sz w:val="21"/>
          <w:szCs w:val="21"/>
          <w:lang w:eastAsia="zh-CN"/>
        </w:rPr>
        <w:t>议引起的或与本协议有关的一切争议和纠纷，双方应协商解决，协商不成，须提交乙方所在地法院申请诉讼解决。</w:t>
      </w:r>
    </w:p>
    <w:p>
      <w:pPr>
        <w:pStyle w:val="15"/>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 xml:space="preserve">第十条 协议解除及终止 </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（一）在本协议有效期内，甲方双方通过协商一致，可以提前一个月以书面方式通知对方解除本协议。</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（二）在本协议有效期内，如甲方违反法律法规或本协议的约定，乙方可以采取暂停提供支付服务、暂停结算等临时措施，经乙方书面通知后10日内仍未改正的，乙方可以书面通知甲方解除本协议。</w:t>
      </w:r>
    </w:p>
    <w:p>
      <w:pPr>
        <w:pStyle w:val="15"/>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（三）当甲方发生下列任一情形的，乙方可以书面形式通知甲方解除本协议，若给乙方或其他损失方造成损失的，甲方应当向乙方或其他损失方承担赔偿责任：</w:t>
      </w:r>
    </w:p>
    <w:p>
      <w:pPr>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1.因违反法律法规，被有关机构查处或被司法机关立案或介入调查；</w:t>
      </w:r>
    </w:p>
    <w:p>
      <w:pPr>
        <w:ind w:right="-653" w:rightChars="-297"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2.被监管机构、银行卡组织认定为不良商户，或甲方在监管机构的风险信息管理系统中存在不良信息；</w:t>
      </w:r>
    </w:p>
    <w:p>
      <w:pPr>
        <w:ind w:right="-653" w:rightChars="-297"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3.利用乙方的支付服务实施违法活动的；</w:t>
      </w:r>
    </w:p>
    <w:p>
      <w:pPr>
        <w:ind w:right="-653" w:rightChars="-297"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4.发生停业、解散、企业注销或进入破产清算程序等情况；</w:t>
      </w:r>
    </w:p>
    <w:p>
      <w:pPr>
        <w:spacing w:line="276" w:lineRule="auto"/>
        <w:rPr>
          <w:rFonts w:ascii="新宋体" w:hAnsi="新宋体" w:eastAsia="新宋体" w:cs="新宋体"/>
          <w:sz w:val="21"/>
          <w:szCs w:val="21"/>
          <w:lang w:eastAsia="zh-CN"/>
        </w:rPr>
      </w:pPr>
    </w:p>
    <w:p>
      <w:pPr>
        <w:spacing w:line="276" w:lineRule="auto"/>
        <w:jc w:val="center"/>
        <w:rPr>
          <w:rFonts w:ascii="新宋体" w:hAnsi="新宋体" w:eastAsia="新宋体" w:cs="新宋体"/>
          <w:sz w:val="21"/>
          <w:szCs w:val="21"/>
          <w:lang w:eastAsia="zh-CN"/>
        </w:rPr>
      </w:pPr>
      <w:r>
        <w:rPr>
          <w:rFonts w:hint="eastAsia" w:ascii="新宋体" w:hAnsi="新宋体" w:eastAsia="新宋体" w:cs="新宋体"/>
          <w:b/>
          <w:spacing w:val="2"/>
          <w:sz w:val="21"/>
          <w:szCs w:val="21"/>
          <w:lang w:eastAsia="zh-CN"/>
        </w:rPr>
        <w:t>专用条款</w:t>
      </w:r>
    </w:p>
    <w:p>
      <w:pPr>
        <w:numPr>
          <w:ilvl w:val="0"/>
          <w:numId w:val="10"/>
        </w:numPr>
        <w:tabs>
          <w:tab w:val="left" w:pos="7828"/>
          <w:tab w:val="left" w:pos="8991"/>
        </w:tabs>
        <w:spacing w:line="276"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合作方式</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甲方开展跨境业务，具有跨境收、付款需求。乙方经中国人民银行许可，从事跨境支付业务。甲方委托乙方通过跨境支付服务系统进行收付款、资金划转等相关操作，对业务过程中涉及的操作承担风险责任，但乙方不参与甲方具体经营事项。</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二）甲方将指定的结算账号作为其付款与收款专用账户。乙方经甲方委托并授权，按照甲方提供的交易申请信息，将相关款项从甲方可用资金中划转至其指定收款账户，或将甲方所收款项划转至其专用结算账户中；甲方须依据乙方业务需要及时提供相关交易材料与申报信息，并遵守乙方关于各项业务的规定与要求。</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甲方结算账户信息：</w:t>
      </w:r>
    </w:p>
    <w:tbl>
      <w:tblPr>
        <w:tblStyle w:val="14"/>
        <w:tblW w:w="8415" w:type="dxa"/>
        <w:tblInd w:w="-10" w:type="dxa"/>
        <w:tblLayout w:type="fixed"/>
        <w:tblCellMar>
          <w:top w:w="0" w:type="dxa"/>
          <w:left w:w="0" w:type="dxa"/>
          <w:bottom w:w="0" w:type="dxa"/>
          <w:right w:w="0" w:type="dxa"/>
        </w:tblCellMar>
      </w:tblPr>
      <w:tblGrid>
        <w:gridCol w:w="2050"/>
        <w:gridCol w:w="6365"/>
      </w:tblGrid>
      <w:tr>
        <w:tblPrEx>
          <w:tblCellMar>
            <w:top w:w="0" w:type="dxa"/>
            <w:left w:w="0" w:type="dxa"/>
            <w:bottom w:w="0" w:type="dxa"/>
            <w:right w:w="0" w:type="dxa"/>
          </w:tblCellMar>
        </w:tblPrEx>
        <w:trPr>
          <w:trHeight w:val="488" w:hRule="atLeast"/>
        </w:trPr>
        <w:tc>
          <w:tcPr>
            <w:tcW w:w="2050" w:type="dxa"/>
            <w:tcBorders>
              <w:top w:val="single" w:color="000000" w:sz="4" w:space="0"/>
              <w:left w:val="single" w:color="000000" w:sz="4" w:space="0"/>
              <w:bottom w:val="single" w:color="000000" w:sz="4" w:space="0"/>
              <w:right w:val="single" w:color="000000" w:sz="4" w:space="0"/>
            </w:tcBorders>
          </w:tcPr>
          <w:p>
            <w:pPr>
              <w:spacing w:line="276" w:lineRule="auto"/>
              <w:ind w:left="141" w:right="141" w:rightChars="64"/>
              <w:jc w:val="both"/>
              <w:rPr>
                <w:rFonts w:ascii="新宋体" w:hAnsi="新宋体" w:eastAsia="新宋体" w:cs="新宋体"/>
                <w:sz w:val="21"/>
                <w:szCs w:val="21"/>
                <w:lang w:eastAsia="zh-CN"/>
              </w:rPr>
            </w:pPr>
            <w:r>
              <w:rPr>
                <w:rFonts w:hint="eastAsia" w:ascii="新宋体" w:hAnsi="新宋体" w:eastAsia="新宋体" w:cs="新宋体"/>
                <w:sz w:val="21"/>
                <w:szCs w:val="21"/>
                <w:lang w:eastAsia="zh-CN"/>
              </w:rPr>
              <w:t>银行开户</w:t>
            </w:r>
            <w:r>
              <w:rPr>
                <w:rFonts w:hint="eastAsia" w:ascii="新宋体" w:hAnsi="新宋体" w:eastAsia="新宋体" w:cs="新宋体"/>
                <w:sz w:val="21"/>
                <w:szCs w:val="21"/>
              </w:rPr>
              <w:t>名</w:t>
            </w:r>
            <w:r>
              <w:rPr>
                <w:rFonts w:hint="eastAsia" w:ascii="新宋体" w:hAnsi="新宋体" w:eastAsia="新宋体" w:cs="新宋体"/>
                <w:sz w:val="21"/>
                <w:szCs w:val="21"/>
                <w:lang w:eastAsia="zh-CN"/>
              </w:rPr>
              <w:t>称</w:t>
            </w:r>
          </w:p>
        </w:tc>
        <w:tc>
          <w:tcPr>
            <w:tcW w:w="6365" w:type="dxa"/>
            <w:tcBorders>
              <w:top w:val="single" w:color="000000" w:sz="4" w:space="0"/>
              <w:left w:val="single" w:color="000000" w:sz="4" w:space="0"/>
              <w:bottom w:val="single" w:color="000000" w:sz="4" w:space="0"/>
              <w:right w:val="single" w:color="000000" w:sz="4" w:space="0"/>
            </w:tcBorders>
          </w:tcPr>
          <w:p>
            <w:pPr>
              <w:spacing w:line="276" w:lineRule="auto"/>
              <w:rPr>
                <w:rFonts w:ascii="新宋体" w:hAnsi="新宋体" w:eastAsia="新宋体" w:cs="新宋体"/>
                <w:sz w:val="21"/>
                <w:szCs w:val="21"/>
                <w:lang w:eastAsia="zh-CN"/>
              </w:rPr>
            </w:pPr>
          </w:p>
        </w:tc>
      </w:tr>
      <w:tr>
        <w:tblPrEx>
          <w:tblCellMar>
            <w:top w:w="0" w:type="dxa"/>
            <w:left w:w="0" w:type="dxa"/>
            <w:bottom w:w="0" w:type="dxa"/>
            <w:right w:w="0" w:type="dxa"/>
          </w:tblCellMar>
        </w:tblPrEx>
        <w:trPr>
          <w:trHeight w:val="481" w:hRule="atLeast"/>
        </w:trPr>
        <w:tc>
          <w:tcPr>
            <w:tcW w:w="2050" w:type="dxa"/>
            <w:tcBorders>
              <w:top w:val="single" w:color="000000" w:sz="4" w:space="0"/>
              <w:left w:val="single" w:color="000000" w:sz="4" w:space="0"/>
              <w:bottom w:val="single" w:color="000000" w:sz="4" w:space="0"/>
              <w:right w:val="single" w:color="000000" w:sz="4" w:space="0"/>
            </w:tcBorders>
          </w:tcPr>
          <w:p>
            <w:pPr>
              <w:spacing w:line="276" w:lineRule="auto"/>
              <w:ind w:left="141" w:right="141" w:rightChars="64"/>
              <w:jc w:val="both"/>
              <w:rPr>
                <w:rFonts w:ascii="新宋体" w:hAnsi="新宋体" w:eastAsia="新宋体" w:cs="新宋体"/>
                <w:sz w:val="21"/>
                <w:szCs w:val="21"/>
              </w:rPr>
            </w:pPr>
            <w:r>
              <w:rPr>
                <w:rFonts w:hint="eastAsia" w:ascii="新宋体" w:hAnsi="新宋体" w:eastAsia="新宋体" w:cs="新宋体"/>
                <w:sz w:val="21"/>
                <w:szCs w:val="21"/>
              </w:rPr>
              <w:t>银</w:t>
            </w:r>
            <w:r>
              <w:rPr>
                <w:rFonts w:hint="eastAsia" w:ascii="新宋体" w:hAnsi="新宋体" w:eastAsia="新宋体" w:cs="新宋体"/>
                <w:spacing w:val="2"/>
                <w:sz w:val="21"/>
                <w:szCs w:val="21"/>
              </w:rPr>
              <w:t>行</w:t>
            </w:r>
            <w:r>
              <w:rPr>
                <w:rFonts w:hint="eastAsia" w:ascii="新宋体" w:hAnsi="新宋体" w:eastAsia="新宋体" w:cs="新宋体"/>
                <w:sz w:val="21"/>
                <w:szCs w:val="21"/>
              </w:rPr>
              <w:t>账号</w:t>
            </w:r>
          </w:p>
        </w:tc>
        <w:tc>
          <w:tcPr>
            <w:tcW w:w="6365" w:type="dxa"/>
            <w:tcBorders>
              <w:top w:val="single" w:color="000000" w:sz="4" w:space="0"/>
              <w:left w:val="single" w:color="000000" w:sz="4" w:space="0"/>
              <w:bottom w:val="single" w:color="000000" w:sz="4" w:space="0"/>
              <w:right w:val="single" w:color="000000" w:sz="4" w:space="0"/>
            </w:tcBorders>
          </w:tcPr>
          <w:p>
            <w:pPr>
              <w:spacing w:line="276" w:lineRule="auto"/>
              <w:rPr>
                <w:rFonts w:ascii="新宋体" w:hAnsi="新宋体" w:eastAsia="新宋体" w:cs="新宋体"/>
                <w:sz w:val="21"/>
                <w:szCs w:val="21"/>
                <w:lang w:eastAsia="zh-CN"/>
              </w:rPr>
            </w:pPr>
          </w:p>
        </w:tc>
      </w:tr>
      <w:tr>
        <w:tblPrEx>
          <w:tblCellMar>
            <w:top w:w="0" w:type="dxa"/>
            <w:left w:w="0" w:type="dxa"/>
            <w:bottom w:w="0" w:type="dxa"/>
            <w:right w:w="0" w:type="dxa"/>
          </w:tblCellMar>
        </w:tblPrEx>
        <w:trPr>
          <w:trHeight w:val="487" w:hRule="atLeast"/>
        </w:trPr>
        <w:tc>
          <w:tcPr>
            <w:tcW w:w="2050" w:type="dxa"/>
            <w:tcBorders>
              <w:top w:val="single" w:color="000000" w:sz="4" w:space="0"/>
              <w:left w:val="single" w:color="000000" w:sz="4" w:space="0"/>
              <w:bottom w:val="single" w:color="000000" w:sz="4" w:space="0"/>
              <w:right w:val="single" w:color="000000" w:sz="4" w:space="0"/>
            </w:tcBorders>
          </w:tcPr>
          <w:p>
            <w:pPr>
              <w:spacing w:line="276" w:lineRule="auto"/>
              <w:ind w:left="141" w:right="141" w:rightChars="64"/>
              <w:jc w:val="both"/>
              <w:rPr>
                <w:rFonts w:ascii="新宋体" w:hAnsi="新宋体" w:eastAsia="新宋体" w:cs="新宋体"/>
                <w:sz w:val="21"/>
                <w:szCs w:val="21"/>
              </w:rPr>
            </w:pPr>
            <w:r>
              <w:rPr>
                <w:rFonts w:hint="eastAsia" w:ascii="新宋体" w:hAnsi="新宋体" w:eastAsia="新宋体" w:cs="新宋体"/>
                <w:sz w:val="21"/>
                <w:szCs w:val="21"/>
              </w:rPr>
              <w:t>开户</w:t>
            </w:r>
            <w:r>
              <w:rPr>
                <w:rFonts w:hint="eastAsia" w:ascii="新宋体" w:hAnsi="新宋体" w:eastAsia="新宋体" w:cs="新宋体"/>
                <w:sz w:val="21"/>
                <w:szCs w:val="21"/>
                <w:lang w:eastAsia="zh-CN"/>
              </w:rPr>
              <w:t>银</w:t>
            </w:r>
            <w:r>
              <w:rPr>
                <w:rFonts w:hint="eastAsia" w:ascii="新宋体" w:hAnsi="新宋体" w:eastAsia="新宋体" w:cs="新宋体"/>
                <w:sz w:val="21"/>
                <w:szCs w:val="21"/>
              </w:rPr>
              <w:t>行</w:t>
            </w:r>
          </w:p>
        </w:tc>
        <w:tc>
          <w:tcPr>
            <w:tcW w:w="6365" w:type="dxa"/>
            <w:tcBorders>
              <w:top w:val="single" w:color="000000" w:sz="4" w:space="0"/>
              <w:left w:val="single" w:color="000000" w:sz="4" w:space="0"/>
              <w:bottom w:val="single" w:color="000000" w:sz="4" w:space="0"/>
              <w:right w:val="single" w:color="000000" w:sz="4" w:space="0"/>
            </w:tcBorders>
          </w:tcPr>
          <w:p>
            <w:pPr>
              <w:spacing w:line="276" w:lineRule="auto"/>
              <w:rPr>
                <w:rFonts w:ascii="新宋体" w:hAnsi="新宋体" w:eastAsia="新宋体" w:cs="新宋体"/>
                <w:sz w:val="21"/>
                <w:szCs w:val="21"/>
                <w:lang w:eastAsia="zh-CN"/>
              </w:rPr>
            </w:pPr>
          </w:p>
        </w:tc>
      </w:tr>
    </w:tbl>
    <w:p>
      <w:pPr>
        <w:tabs>
          <w:tab w:val="left" w:pos="7828"/>
          <w:tab w:val="left" w:pos="8991"/>
        </w:tabs>
        <w:spacing w:line="276" w:lineRule="auto"/>
        <w:rPr>
          <w:rFonts w:ascii="新宋体" w:hAnsi="新宋体" w:eastAsia="新宋体" w:cs="新宋体"/>
          <w:sz w:val="21"/>
          <w:szCs w:val="21"/>
          <w:lang w:eastAsia="zh-CN"/>
        </w:rPr>
      </w:pPr>
    </w:p>
    <w:p>
      <w:pPr>
        <w:tabs>
          <w:tab w:val="left" w:pos="7828"/>
          <w:tab w:val="left" w:pos="8991"/>
        </w:tabs>
        <w:spacing w:line="276" w:lineRule="auto"/>
        <w:ind w:firstLine="422" w:firstLineChars="200"/>
        <w:outlineLvl w:val="0"/>
        <w:rPr>
          <w:rFonts w:ascii="新宋体" w:hAnsi="新宋体" w:eastAsia="新宋体" w:cs="新宋体"/>
          <w:b/>
          <w:color w:val="000000"/>
          <w:sz w:val="21"/>
          <w:szCs w:val="21"/>
          <w:lang w:eastAsia="zh-CN"/>
        </w:rPr>
      </w:pPr>
      <w:r>
        <w:rPr>
          <w:rFonts w:hint="eastAsia" w:ascii="新宋体" w:hAnsi="新宋体" w:eastAsia="新宋体" w:cs="新宋体"/>
          <w:b/>
          <w:sz w:val="21"/>
          <w:szCs w:val="21"/>
          <w:lang w:eastAsia="zh-CN"/>
        </w:rPr>
        <w:t>第二条 费用</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（一）甲方使用乙方的跨境支付产品及相关服务，应按双方确定的收费标准（附件1）支付服务费用。</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二）按交易金额或交易笔数收取的服务费用由乙方在完成业务办理时从交易款项中直接扣取；乙方将根据国家法律法规的规定向甲方开具增值税专用发票或增值税普通发票。开票金额以乙方系统数据为准，开票信息经甲方核对无异议后，乙方每月20日为甲方开具上个自然月的手续费发票（如遇节假日顺延至节假日后第一个工作日）。</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（三）如发生</w:t>
      </w:r>
      <w:r>
        <w:rPr>
          <w:rFonts w:hint="eastAsia" w:ascii="新宋体" w:hAnsi="新宋体" w:eastAsia="新宋体" w:cs="新宋体"/>
          <w:color w:val="000000" w:themeColor="text1"/>
          <w:sz w:val="21"/>
          <w:szCs w:val="21"/>
          <w:lang w:eastAsia="zh-CN"/>
          <w14:textFill>
            <w14:solidFill>
              <w14:schemeClr w14:val="tx1"/>
            </w14:solidFill>
          </w14:textFill>
        </w:rPr>
        <w:t>合作银行</w:t>
      </w:r>
      <w:r>
        <w:rPr>
          <w:rFonts w:hint="eastAsia" w:ascii="新宋体" w:hAnsi="新宋体" w:eastAsia="新宋体" w:cs="新宋体"/>
          <w:sz w:val="21"/>
          <w:szCs w:val="21"/>
          <w:lang w:eastAsia="zh-CN"/>
        </w:rPr>
        <w:t>调整收费政策或市场行情波动等因素影响，乙方有权对费率进行调整，但须提前10个工作日以书面形式通知甲方。若双方就调整后的费率无法达成一致，则甲乙双方均有权终止本协议。</w:t>
      </w:r>
    </w:p>
    <w:p>
      <w:pPr>
        <w:tabs>
          <w:tab w:val="left" w:pos="7828"/>
          <w:tab w:val="left" w:pos="8991"/>
        </w:tabs>
        <w:spacing w:line="276" w:lineRule="auto"/>
        <w:ind w:firstLine="422" w:firstLineChars="200"/>
        <w:outlineLvl w:val="0"/>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第三条 结算</w:t>
      </w:r>
    </w:p>
    <w:p>
      <w:pPr>
        <w:tabs>
          <w:tab w:val="left" w:pos="7828"/>
          <w:tab w:val="left" w:pos="8991"/>
        </w:tabs>
        <w:spacing w:line="276" w:lineRule="auto"/>
        <w:ind w:firstLine="420" w:firstLineChars="200"/>
        <w:rPr>
          <w:rFonts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（一）乙方在办理业务时，应在收到交易资金之日（T）后的第一个工作日（T+1）内完成业务的处理。</w:t>
      </w:r>
    </w:p>
    <w:p>
      <w:pPr>
        <w:tabs>
          <w:tab w:val="left" w:pos="7828"/>
          <w:tab w:val="left" w:pos="8991"/>
        </w:tabs>
        <w:spacing w:line="276" w:lineRule="auto"/>
        <w:ind w:firstLine="420" w:firstLineChars="200"/>
        <w:rPr>
          <w:rFonts w:ascii="新宋体" w:hAnsi="新宋体" w:eastAsia="新宋体" w:cs="新宋体"/>
          <w:color w:val="FF0000"/>
          <w:sz w:val="21"/>
          <w:szCs w:val="21"/>
          <w:lang w:eastAsia="zh-CN"/>
        </w:rPr>
      </w:pPr>
      <w:r>
        <w:rPr>
          <w:rFonts w:hint="eastAsia" w:ascii="新宋体" w:hAnsi="新宋体" w:eastAsia="新宋体" w:cs="新宋体"/>
          <w:sz w:val="21"/>
          <w:szCs w:val="21"/>
          <w:lang w:eastAsia="zh-CN"/>
        </w:rPr>
        <w:t>（二）在商户的交易过程中，以银行渠道归集（包括但不限于银行汇款、B2C网银、B2B网银、快捷支付等互联网支付通道）的方式进入乙方人民币备付金账户的情况下，向</w:t>
      </w:r>
      <w:r>
        <w:rPr>
          <w:rFonts w:hint="eastAsia" w:ascii="新宋体" w:hAnsi="新宋体" w:eastAsia="新宋体" w:cs="新宋体"/>
          <w:color w:val="000000" w:themeColor="text1"/>
          <w:sz w:val="21"/>
          <w:szCs w:val="21"/>
          <w:lang w:eastAsia="zh-CN"/>
          <w14:textFill>
            <w14:solidFill>
              <w14:schemeClr w14:val="tx1"/>
            </w14:solidFill>
          </w14:textFill>
        </w:rPr>
        <w:t>合作银行发起结算申请。</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（三）境外到账时间以合作银行的处理为准。</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（四）</w:t>
      </w:r>
      <w:r>
        <w:rPr>
          <w:rFonts w:hint="eastAsia" w:ascii="新宋体" w:hAnsi="新宋体" w:eastAsia="新宋体" w:cs="新宋体"/>
          <w:color w:val="000000"/>
          <w:sz w:val="21"/>
          <w:szCs w:val="21"/>
          <w:lang w:eastAsia="zh-CN"/>
        </w:rPr>
        <w:t>国际汇款过程中境外银行可能会向甲方收取汇款中转费，或向收款人收取入账手续费，这些费用将从汇款金额中扣除。如汇款被收款行退回，以上费用境外银行不做退回。</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（五）甲方使用乙方的跨境收银台时可以指定结算币种，如因甲方所提供信息标识不清等原因造成的交易争议及由此引发的一切损失由甲方自行承担。</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（六）乙方须按约定的结算周期为甲方进行结算，但因银行系统异常等非乙方原因导致结算延误的，乙方不承担相应责任与损失。甲方如对结算周期提出附加要求，须由双方单独协商，并签署补充协议约定。</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（七）甲方通过乙方系统使用支付服务的各项限额，须符合监管机构相关规定；如对单笔订单金额有其他要求的，从其规定。</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（八）甲方承诺，在享受服务时，甲方的收款金额以境内银行待核查到账金额为准，甲方须在乙方服务网站页面确认收款金额。</w:t>
      </w:r>
    </w:p>
    <w:p>
      <w:pPr>
        <w:tabs>
          <w:tab w:val="left" w:pos="7828"/>
          <w:tab w:val="left" w:pos="8991"/>
        </w:tabs>
        <w:spacing w:line="276" w:lineRule="auto"/>
        <w:ind w:firstLine="420" w:firstLineChars="200"/>
        <w:rPr>
          <w:rFonts w:ascii="新宋体" w:hAnsi="新宋体" w:eastAsia="新宋体" w:cs="新宋体"/>
          <w:sz w:val="21"/>
          <w:szCs w:val="21"/>
          <w:lang w:eastAsia="zh-CN"/>
        </w:rPr>
      </w:pPr>
    </w:p>
    <w:p>
      <w:pPr>
        <w:tabs>
          <w:tab w:val="left" w:pos="7828"/>
          <w:tab w:val="left" w:pos="8991"/>
        </w:tabs>
        <w:spacing w:line="276" w:lineRule="auto"/>
        <w:ind w:firstLine="422" w:firstLineChars="200"/>
        <w:rPr>
          <w:rFonts w:ascii="新宋体" w:hAnsi="新宋体" w:eastAsia="新宋体" w:cs="新宋体"/>
          <w:sz w:val="21"/>
          <w:szCs w:val="21"/>
          <w:lang w:eastAsia="zh-CN"/>
        </w:rPr>
      </w:pPr>
      <w:r>
        <w:rPr>
          <w:rFonts w:hint="eastAsia" w:ascii="新宋体" w:hAnsi="新宋体" w:eastAsia="新宋体" w:cs="新宋体"/>
          <w:b/>
          <w:sz w:val="21"/>
          <w:szCs w:val="21"/>
          <w:lang w:eastAsia="zh-CN"/>
        </w:rPr>
        <w:t>第四条 期限及其他</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（一）本协议自</w:t>
      </w:r>
      <w:r>
        <w:rPr>
          <w:rFonts w:hint="eastAsia" w:ascii="新宋体" w:hAnsi="新宋体" w:eastAsia="新宋体" w:cs="新宋体"/>
          <w:sz w:val="21"/>
          <w:szCs w:val="21"/>
          <w:u w:val="single"/>
          <w:lang w:eastAsia="zh-CN"/>
        </w:rPr>
        <w:t xml:space="preserve">    </w:t>
      </w:r>
      <w:r>
        <w:rPr>
          <w:rFonts w:hint="eastAsia" w:ascii="新宋体" w:hAnsi="新宋体" w:eastAsia="新宋体" w:cs="新宋体"/>
          <w:sz w:val="21"/>
          <w:szCs w:val="21"/>
          <w:lang w:eastAsia="zh-CN"/>
        </w:rPr>
        <w:t>年</w:t>
      </w:r>
      <w:r>
        <w:rPr>
          <w:rFonts w:hint="eastAsia" w:ascii="新宋体" w:hAnsi="新宋体" w:eastAsia="新宋体" w:cs="新宋体"/>
          <w:sz w:val="21"/>
          <w:szCs w:val="21"/>
          <w:u w:val="single"/>
          <w:lang w:eastAsia="zh-CN"/>
        </w:rPr>
        <w:t xml:space="preserve">   </w:t>
      </w:r>
      <w:r>
        <w:rPr>
          <w:rFonts w:hint="eastAsia" w:ascii="新宋体" w:hAnsi="新宋体" w:eastAsia="新宋体" w:cs="新宋体"/>
          <w:sz w:val="21"/>
          <w:szCs w:val="21"/>
          <w:lang w:eastAsia="zh-CN"/>
        </w:rPr>
        <w:t>月</w:t>
      </w:r>
      <w:r>
        <w:rPr>
          <w:rFonts w:hint="eastAsia" w:ascii="新宋体" w:hAnsi="新宋体" w:eastAsia="新宋体" w:cs="新宋体"/>
          <w:sz w:val="21"/>
          <w:szCs w:val="21"/>
          <w:u w:val="single"/>
          <w:lang w:eastAsia="zh-CN"/>
        </w:rPr>
        <w:t xml:space="preserve">   </w:t>
      </w:r>
      <w:r>
        <w:rPr>
          <w:rFonts w:hint="eastAsia" w:ascii="新宋体" w:hAnsi="新宋体" w:eastAsia="新宋体" w:cs="新宋体"/>
          <w:sz w:val="21"/>
          <w:szCs w:val="21"/>
          <w:lang w:eastAsia="zh-CN"/>
        </w:rPr>
        <w:t>日起生效，协议有效期为一年。协议到期时如双方均无异议，自动顺延一年，顺延次数不限。任何一方如无续签意向，须于本协议到期前 30 日以书面形式通知对方。</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（二）本协议的注解、附件、补充规定为本协议不可分割的组成部分，与本协议具有同等法律效力。</w:t>
      </w: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（三）本协议一式肆份，甲、乙双方各持贰份，经双方盖章后生效，具有同等法律效力。</w:t>
      </w:r>
    </w:p>
    <w:p>
      <w:pPr>
        <w:tabs>
          <w:tab w:val="left" w:pos="7828"/>
          <w:tab w:val="left" w:pos="8991"/>
        </w:tabs>
        <w:spacing w:line="276" w:lineRule="auto"/>
        <w:ind w:firstLine="420" w:firstLineChars="200"/>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甲方（盖章）：                      乙方（盖章）：</w:t>
      </w:r>
    </w:p>
    <w:p>
      <w:pPr>
        <w:tabs>
          <w:tab w:val="left" w:pos="7828"/>
          <w:tab w:val="left" w:pos="8991"/>
        </w:tabs>
        <w:spacing w:line="276" w:lineRule="auto"/>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法定代表人(授权代表)：              法定代表人(授权代表)：</w:t>
      </w:r>
    </w:p>
    <w:p>
      <w:pPr>
        <w:tabs>
          <w:tab w:val="left" w:pos="7828"/>
          <w:tab w:val="left" w:pos="8991"/>
        </w:tabs>
        <w:spacing w:line="276" w:lineRule="auto"/>
        <w:jc w:val="center"/>
        <w:rPr>
          <w:rFonts w:ascii="新宋体" w:hAnsi="新宋体" w:eastAsia="新宋体" w:cs="新宋体"/>
          <w:sz w:val="21"/>
          <w:szCs w:val="21"/>
          <w:lang w:eastAsia="zh-CN"/>
        </w:rPr>
      </w:pPr>
    </w:p>
    <w:p>
      <w:pPr>
        <w:tabs>
          <w:tab w:val="left" w:pos="7828"/>
          <w:tab w:val="left" w:pos="8991"/>
        </w:tabs>
        <w:spacing w:line="276" w:lineRule="auto"/>
        <w:ind w:firstLine="420" w:firstLineChars="200"/>
        <w:rPr>
          <w:rFonts w:ascii="新宋体" w:hAnsi="新宋体" w:eastAsia="新宋体" w:cs="新宋体"/>
          <w:sz w:val="21"/>
          <w:szCs w:val="21"/>
          <w:lang w:eastAsia="zh-CN"/>
        </w:rPr>
      </w:pPr>
      <w:r>
        <w:rPr>
          <w:rFonts w:hint="eastAsia" w:ascii="新宋体" w:hAnsi="新宋体" w:eastAsia="新宋体" w:cs="新宋体"/>
          <w:sz w:val="21"/>
          <w:szCs w:val="21"/>
          <w:lang w:eastAsia="zh-CN"/>
        </w:rPr>
        <w:t>签署日期： 年   月   日             签署日期： 年   月   日</w:t>
      </w: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widowControl/>
        <w:rPr>
          <w:rFonts w:ascii="新宋体" w:hAnsi="新宋体" w:eastAsia="新宋体" w:cs="新宋体"/>
          <w:sz w:val="21"/>
          <w:szCs w:val="21"/>
          <w:lang w:eastAsia="zh-CN"/>
        </w:rPr>
      </w:pPr>
    </w:p>
    <w:p>
      <w:pPr>
        <w:tabs>
          <w:tab w:val="left" w:pos="7828"/>
          <w:tab w:val="left" w:pos="8991"/>
        </w:tabs>
        <w:spacing w:line="15" w:lineRule="auto"/>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附件1</w:t>
      </w:r>
    </w:p>
    <w:p>
      <w:pPr>
        <w:tabs>
          <w:tab w:val="left" w:pos="7828"/>
          <w:tab w:val="left" w:pos="8991"/>
        </w:tabs>
        <w:spacing w:line="15" w:lineRule="auto"/>
        <w:jc w:val="center"/>
        <w:rPr>
          <w:rFonts w:ascii="新宋体" w:hAnsi="新宋体" w:eastAsia="新宋体" w:cs="新宋体"/>
          <w:b/>
          <w:sz w:val="21"/>
          <w:szCs w:val="21"/>
          <w:lang w:eastAsia="zh-CN"/>
        </w:rPr>
      </w:pPr>
      <w:r>
        <w:rPr>
          <w:rFonts w:hint="eastAsia" w:ascii="新宋体" w:hAnsi="新宋体" w:eastAsia="新宋体" w:cs="新宋体"/>
          <w:b/>
          <w:sz w:val="21"/>
          <w:szCs w:val="21"/>
          <w:lang w:eastAsia="zh-CN"/>
        </w:rPr>
        <w:t>跨境支付产品及服务列表</w:t>
      </w:r>
    </w:p>
    <w:tbl>
      <w:tblPr>
        <w:tblStyle w:val="8"/>
        <w:tblW w:w="920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2865"/>
        <w:gridCol w:w="1490"/>
        <w:gridCol w:w="48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5" w:hRule="atLeast"/>
          <w:jc w:val="center"/>
        </w:trPr>
        <w:tc>
          <w:tcPr>
            <w:tcW w:w="9207" w:type="dxa"/>
            <w:gridSpan w:val="3"/>
            <w:tcBorders>
              <w:bottom w:val="single" w:color="auto" w:sz="8" w:space="0"/>
            </w:tcBorders>
            <w:shd w:val="clear" w:color="auto" w:fill="BFBFBF"/>
            <w:vAlign w:val="center"/>
          </w:tcPr>
          <w:p>
            <w:pPr>
              <w:spacing w:line="240" w:lineRule="exact"/>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bidi="ar"/>
              </w:rPr>
              <w:t>跨境付款产品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7" w:hRule="atLeast"/>
          <w:jc w:val="center"/>
        </w:trPr>
        <w:tc>
          <w:tcPr>
            <w:tcW w:w="2865" w:type="dxa"/>
            <w:tcBorders>
              <w:top w:val="single" w:color="auto" w:sz="8" w:space="0"/>
              <w:bottom w:val="single" w:color="auto" w:sz="8" w:space="0"/>
              <w:right w:val="single" w:color="auto" w:sz="8" w:space="0"/>
            </w:tcBorders>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服务内容</w:t>
            </w:r>
          </w:p>
        </w:tc>
        <w:tc>
          <w:tcPr>
            <w:tcW w:w="1490" w:type="dxa"/>
            <w:tcBorders>
              <w:top w:val="single" w:color="auto" w:sz="8" w:space="0"/>
              <w:left w:val="single" w:color="auto" w:sz="8" w:space="0"/>
              <w:bottom w:val="single" w:color="auto" w:sz="8" w:space="0"/>
              <w:right w:val="single" w:color="auto" w:sz="8" w:space="0"/>
            </w:tcBorders>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接入方式</w:t>
            </w:r>
          </w:p>
        </w:tc>
        <w:tc>
          <w:tcPr>
            <w:tcW w:w="4852" w:type="dxa"/>
            <w:tcBorders>
              <w:top w:val="single" w:color="auto" w:sz="8" w:space="0"/>
              <w:left w:val="single" w:color="auto" w:sz="8" w:space="0"/>
              <w:bottom w:val="single" w:color="auto" w:sz="8" w:space="0"/>
            </w:tcBorders>
            <w:shd w:val="clear" w:color="auto" w:fill="F1F1F1" w:themeFill="background1" w:themeFillShade="F2"/>
            <w:vAlign w:val="center"/>
          </w:tcPr>
          <w:p>
            <w:pPr>
              <w:spacing w:line="2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服务费用标准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7" w:hRule="atLeast"/>
          <w:jc w:val="center"/>
        </w:trPr>
        <w:tc>
          <w:tcPr>
            <w:tcW w:w="2865" w:type="dxa"/>
            <w:tcBorders>
              <w:top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□跨境付款</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□商户后台</w:t>
            </w:r>
          </w:p>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□API</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jc w:val="both"/>
              <w:textAlignment w:val="center"/>
              <w:rPr>
                <w:rFonts w:ascii="新宋体" w:hAnsi="新宋体" w:eastAsia="新宋体" w:cs="新宋体"/>
                <w:color w:val="000000"/>
                <w:sz w:val="21"/>
                <w:szCs w:val="21"/>
                <w:lang w:eastAsia="zh-CN"/>
              </w:rPr>
            </w:pPr>
            <w:r>
              <w:rPr>
                <w:rFonts w:hint="eastAsia" w:ascii="新宋体" w:hAnsi="新宋体" w:eastAsia="新宋体" w:cs="新宋体"/>
                <w:color w:val="000000"/>
                <w:sz w:val="21"/>
                <w:szCs w:val="21"/>
                <w:u w:val="single"/>
                <w:lang w:eastAsia="zh-CN"/>
              </w:rPr>
              <w:t xml:space="preserve">  </w:t>
            </w:r>
            <w:r>
              <w:rPr>
                <w:rFonts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w:t>
            </w:r>
            <w:r>
              <w:rPr>
                <w:rFonts w:hint="eastAsia" w:ascii="新宋体" w:hAnsi="新宋体" w:eastAsia="新宋体" w:cs="新宋体"/>
                <w:color w:val="000000"/>
                <w:sz w:val="21"/>
                <w:szCs w:val="21"/>
                <w:u w:val="single"/>
                <w:lang w:eastAsia="zh-CN"/>
              </w:rPr>
              <w:t xml:space="preserve">  </w:t>
            </w:r>
            <w:r>
              <w:rPr>
                <w:rFonts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，起付金额</w:t>
            </w:r>
            <w:r>
              <w:rPr>
                <w:rFonts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0" w:hRule="atLeast"/>
          <w:jc w:val="center"/>
        </w:trPr>
        <w:tc>
          <w:tcPr>
            <w:tcW w:w="9207" w:type="dxa"/>
            <w:gridSpan w:val="3"/>
            <w:tcBorders>
              <w:top w:val="single" w:color="auto" w:sz="8" w:space="0"/>
              <w:bottom w:val="single" w:color="auto" w:sz="8" w:space="0"/>
            </w:tcBorders>
            <w:shd w:val="clear" w:color="auto" w:fill="BFBFBF"/>
            <w:vAlign w:val="center"/>
          </w:tcPr>
          <w:p>
            <w:pPr>
              <w:widowControl/>
              <w:spacing w:line="240" w:lineRule="exact"/>
              <w:textAlignment w:val="center"/>
              <w:rPr>
                <w:rFonts w:ascii="新宋体" w:hAnsi="新宋体" w:eastAsia="新宋体" w:cs="新宋体"/>
                <w:color w:val="000000"/>
                <w:sz w:val="21"/>
                <w:szCs w:val="21"/>
                <w:lang w:eastAsia="zh-CN"/>
              </w:rPr>
            </w:pPr>
            <w:r>
              <w:rPr>
                <w:rFonts w:hint="eastAsia" w:ascii="新宋体" w:hAnsi="新宋体" w:eastAsia="新宋体" w:cs="新宋体"/>
                <w:b/>
                <w:color w:val="000000"/>
                <w:sz w:val="21"/>
                <w:szCs w:val="21"/>
                <w:lang w:bidi="ar"/>
              </w:rPr>
              <w:t>跨境收款产品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tcBorders>
              <w:top w:val="single" w:color="auto" w:sz="8" w:space="0"/>
              <w:bottom w:val="single" w:color="auto" w:sz="8" w:space="0"/>
              <w:right w:val="single" w:color="auto" w:sz="8" w:space="0"/>
            </w:tcBorders>
            <w:shd w:val="clear" w:color="auto" w:fill="F1F1F1" w:themeFill="background1" w:themeFillShade="F2"/>
            <w:vAlign w:val="center"/>
          </w:tcPr>
          <w:p>
            <w:pPr>
              <w:widowControl/>
              <w:spacing w:line="3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服务内容</w:t>
            </w:r>
          </w:p>
        </w:tc>
        <w:tc>
          <w:tcPr>
            <w:tcW w:w="1490" w:type="dxa"/>
            <w:tcBorders>
              <w:top w:val="single" w:color="auto" w:sz="8" w:space="0"/>
              <w:left w:val="single" w:color="auto" w:sz="8" w:space="0"/>
              <w:bottom w:val="single" w:color="auto" w:sz="8" w:space="0"/>
              <w:right w:val="single" w:color="auto" w:sz="8" w:space="0"/>
            </w:tcBorders>
            <w:shd w:val="clear" w:color="auto" w:fill="F1F1F1" w:themeFill="background1" w:themeFillShade="F2"/>
            <w:vAlign w:val="center"/>
          </w:tcPr>
          <w:p>
            <w:pPr>
              <w:widowControl/>
              <w:spacing w:line="3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接入方式</w:t>
            </w:r>
          </w:p>
        </w:tc>
        <w:tc>
          <w:tcPr>
            <w:tcW w:w="4852" w:type="dxa"/>
            <w:tcBorders>
              <w:top w:val="single" w:color="auto" w:sz="8" w:space="0"/>
              <w:left w:val="single" w:color="auto" w:sz="8" w:space="0"/>
              <w:bottom w:val="single" w:color="auto" w:sz="8" w:space="0"/>
            </w:tcBorders>
            <w:shd w:val="clear" w:color="auto" w:fill="F1F1F1" w:themeFill="background1" w:themeFillShade="F2"/>
            <w:vAlign w:val="center"/>
          </w:tcPr>
          <w:p>
            <w:pPr>
              <w:spacing w:line="3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服务费用标准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7" w:hRule="atLeast"/>
          <w:jc w:val="center"/>
        </w:trPr>
        <w:tc>
          <w:tcPr>
            <w:tcW w:w="2865" w:type="dxa"/>
            <w:tcBorders>
              <w:top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eastAsia="zh-CN" w:bidi="ar"/>
              </w:rPr>
              <w:t>□跨境收款</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□商户后台</w:t>
            </w:r>
          </w:p>
          <w:p>
            <w:pPr>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□API</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jc w:val="both"/>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9207" w:type="dxa"/>
            <w:gridSpan w:val="3"/>
            <w:tcBorders>
              <w:top w:val="single" w:color="auto" w:sz="8" w:space="0"/>
              <w:bottom w:val="single" w:color="auto" w:sz="8" w:space="0"/>
            </w:tcBorders>
            <w:shd w:val="clear" w:color="auto" w:fill="B2B2B2"/>
            <w:vAlign w:val="bottom"/>
          </w:tcPr>
          <w:p>
            <w:pPr>
              <w:widowControl/>
              <w:spacing w:line="360" w:lineRule="exact"/>
              <w:textAlignment w:val="bottom"/>
              <w:rPr>
                <w:rFonts w:ascii="新宋体" w:hAnsi="新宋体" w:eastAsia="新宋体" w:cs="新宋体"/>
                <w:color w:val="000000"/>
                <w:sz w:val="21"/>
                <w:szCs w:val="21"/>
              </w:rPr>
            </w:pPr>
            <w:r>
              <w:rPr>
                <w:rFonts w:hint="eastAsia" w:ascii="新宋体" w:hAnsi="新宋体" w:eastAsia="新宋体" w:cs="新宋体"/>
                <w:b/>
                <w:color w:val="000000"/>
                <w:sz w:val="21"/>
                <w:szCs w:val="21"/>
                <w:lang w:bidi="ar"/>
              </w:rPr>
              <w:t>境内人民币付款产品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tcBorders>
              <w:top w:val="single" w:color="auto" w:sz="8" w:space="0"/>
              <w:bottom w:val="single" w:color="auto" w:sz="8" w:space="0"/>
              <w:right w:val="single" w:color="auto" w:sz="8" w:space="0"/>
            </w:tcBorders>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bidi="ar"/>
              </w:rPr>
            </w:pPr>
            <w:r>
              <w:rPr>
                <w:rFonts w:hint="eastAsia" w:ascii="新宋体" w:hAnsi="新宋体" w:eastAsia="新宋体" w:cs="新宋体"/>
                <w:b/>
                <w:color w:val="000000"/>
                <w:sz w:val="21"/>
                <w:szCs w:val="21"/>
                <w:lang w:eastAsia="zh-CN" w:bidi="ar"/>
              </w:rPr>
              <w:t>服务内容</w:t>
            </w:r>
          </w:p>
        </w:tc>
        <w:tc>
          <w:tcPr>
            <w:tcW w:w="1490" w:type="dxa"/>
            <w:tcBorders>
              <w:top w:val="single" w:color="auto" w:sz="8" w:space="0"/>
              <w:left w:val="single" w:color="auto" w:sz="8" w:space="0"/>
              <w:bottom w:val="single" w:color="auto" w:sz="8" w:space="0"/>
              <w:right w:val="single" w:color="auto" w:sz="8" w:space="0"/>
            </w:tcBorders>
            <w:shd w:val="clear" w:color="auto" w:fill="F1F1F1" w:themeFill="background1" w:themeFillShade="F2"/>
            <w:vAlign w:val="center"/>
          </w:tcPr>
          <w:p>
            <w:pPr>
              <w:widowControl/>
              <w:spacing w:line="200" w:lineRule="exact"/>
              <w:jc w:val="center"/>
              <w:textAlignment w:val="center"/>
              <w:rPr>
                <w:rFonts w:ascii="新宋体" w:hAnsi="新宋体" w:eastAsia="新宋体" w:cs="新宋体"/>
                <w:color w:val="000000"/>
                <w:sz w:val="21"/>
                <w:szCs w:val="21"/>
                <w:lang w:bidi="ar"/>
              </w:rPr>
            </w:pPr>
            <w:r>
              <w:rPr>
                <w:rFonts w:hint="eastAsia" w:ascii="新宋体" w:hAnsi="新宋体" w:eastAsia="新宋体" w:cs="新宋体"/>
                <w:b/>
                <w:color w:val="000000"/>
                <w:sz w:val="21"/>
                <w:szCs w:val="21"/>
                <w:lang w:eastAsia="zh-CN" w:bidi="ar"/>
              </w:rPr>
              <w:t>接入方式</w:t>
            </w:r>
          </w:p>
        </w:tc>
        <w:tc>
          <w:tcPr>
            <w:tcW w:w="4852" w:type="dxa"/>
            <w:tcBorders>
              <w:top w:val="single" w:color="auto" w:sz="8" w:space="0"/>
              <w:left w:val="single" w:color="auto" w:sz="8" w:space="0"/>
              <w:bottom w:val="single" w:color="auto" w:sz="8" w:space="0"/>
            </w:tcBorders>
            <w:shd w:val="clear" w:color="auto" w:fill="F1F1F1" w:themeFill="background1" w:themeFillShade="F2"/>
            <w:vAlign w:val="center"/>
          </w:tcPr>
          <w:p>
            <w:pPr>
              <w:spacing w:line="200" w:lineRule="exact"/>
              <w:jc w:val="center"/>
              <w:textAlignment w:val="center"/>
              <w:rPr>
                <w:rFonts w:ascii="新宋体" w:hAnsi="新宋体" w:eastAsia="新宋体" w:cs="新宋体"/>
                <w:color w:val="000000"/>
                <w:sz w:val="21"/>
                <w:szCs w:val="21"/>
              </w:rPr>
            </w:pPr>
            <w:r>
              <w:rPr>
                <w:rFonts w:hint="eastAsia" w:ascii="新宋体" w:hAnsi="新宋体" w:eastAsia="新宋体" w:cs="新宋体"/>
                <w:b/>
                <w:color w:val="000000"/>
                <w:sz w:val="21"/>
                <w:szCs w:val="21"/>
                <w:lang w:eastAsia="zh-CN" w:bidi="ar"/>
              </w:rPr>
              <w:t>服务费用标准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tcBorders>
              <w:top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□付款到银行</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□商户后台</w:t>
            </w:r>
          </w:p>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□API</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u w:val="single"/>
                <w:lang w:eastAsia="zh-CN"/>
              </w:rPr>
              <w:t xml:space="preserve">   元</w:t>
            </w:r>
            <w:r>
              <w:rPr>
                <w:rFonts w:hint="eastAsia" w:ascii="新宋体" w:hAnsi="新宋体" w:eastAsia="新宋体" w:cs="新宋体"/>
                <w:color w:val="000000"/>
                <w:sz w:val="21"/>
                <w:szCs w:val="21"/>
                <w:lang w:eastAsia="zh-CN"/>
              </w:rPr>
              <w:t>/笔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78" w:hRule="atLeast"/>
          <w:jc w:val="center"/>
        </w:trPr>
        <w:tc>
          <w:tcPr>
            <w:tcW w:w="9207" w:type="dxa"/>
            <w:gridSpan w:val="3"/>
            <w:tcBorders>
              <w:top w:val="single" w:color="auto" w:sz="8" w:space="0"/>
              <w:bottom w:val="single" w:color="auto" w:sz="8" w:space="0"/>
            </w:tcBorders>
            <w:shd w:val="clear" w:color="auto" w:fill="B2B2B2"/>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b/>
                <w:color w:val="000000"/>
                <w:sz w:val="21"/>
                <w:szCs w:val="21"/>
                <w:lang w:bidi="ar"/>
              </w:rPr>
              <w:t>跨境收银台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tcBorders>
              <w:top w:val="single" w:color="auto" w:sz="8" w:space="0"/>
              <w:bottom w:val="single" w:color="auto" w:sz="8" w:space="0"/>
              <w:right w:val="single" w:color="auto" w:sz="8" w:space="0"/>
            </w:tcBorders>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服务内容</w:t>
            </w:r>
          </w:p>
        </w:tc>
        <w:tc>
          <w:tcPr>
            <w:tcW w:w="1490" w:type="dxa"/>
            <w:tcBorders>
              <w:top w:val="single" w:color="auto" w:sz="8" w:space="0"/>
              <w:left w:val="single" w:color="auto" w:sz="8" w:space="0"/>
              <w:bottom w:val="single" w:color="auto" w:sz="8" w:space="0"/>
              <w:right w:val="single" w:color="auto" w:sz="8" w:space="0"/>
            </w:tcBorders>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接入方式</w:t>
            </w:r>
          </w:p>
        </w:tc>
        <w:tc>
          <w:tcPr>
            <w:tcW w:w="4852" w:type="dxa"/>
            <w:tcBorders>
              <w:top w:val="single" w:color="auto" w:sz="8" w:space="0"/>
              <w:left w:val="single" w:color="auto" w:sz="8" w:space="0"/>
              <w:bottom w:val="single" w:color="auto" w:sz="8" w:space="0"/>
            </w:tcBorders>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服务费用标准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restart"/>
            <w:tcBorders>
              <w:top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bidi="ar"/>
              </w:rPr>
              <w:t>网银支付</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bidi="ar"/>
              </w:rPr>
              <w:t>B2C</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top w:val="single" w:color="auto" w:sz="8" w:space="0"/>
              <w:bottom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bidi="ar"/>
              </w:rPr>
              <w:t>B2B</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textAlignment w:val="bottom"/>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元</w:t>
            </w:r>
            <w:r>
              <w:rPr>
                <w:rFonts w:hint="eastAsia" w:ascii="新宋体" w:hAnsi="新宋体" w:eastAsia="新宋体" w:cs="新宋体"/>
                <w:color w:val="000000"/>
                <w:sz w:val="21"/>
                <w:szCs w:val="21"/>
                <w:lang w:eastAsia="zh-CN"/>
              </w:rPr>
              <w:t>/笔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restart"/>
            <w:tcBorders>
              <w:top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□借记卡快捷支付</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 xml:space="preserve">□WEB </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lang w:eastAsia="zh-CN"/>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top w:val="single" w:color="auto" w:sz="8" w:space="0"/>
              <w:bottom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 xml:space="preserve">□H5  </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top w:val="single" w:color="auto" w:sz="8" w:space="0"/>
              <w:bottom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□SDK</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restart"/>
            <w:tcBorders>
              <w:top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□贷记卡快捷支付</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□WEB</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top w:val="single" w:color="auto" w:sz="8" w:space="0"/>
              <w:bottom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 xml:space="preserve">□H5  </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top w:val="single" w:color="auto" w:sz="8" w:space="0"/>
              <w:bottom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□SDK</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restart"/>
            <w:tcBorders>
              <w:top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bidi="ar"/>
              </w:rPr>
              <w:t>微信支付</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□WEB/API</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eastAsia="zh-CN" w:bidi="ar"/>
              </w:rPr>
            </w:pPr>
            <w:r>
              <w:rPr>
                <w:rFonts w:hint="eastAsia" w:ascii="新宋体" w:hAnsi="新宋体" w:eastAsia="新宋体" w:cs="新宋体"/>
                <w:color w:val="000000"/>
                <w:sz w:val="21"/>
                <w:szCs w:val="21"/>
                <w:lang w:eastAsia="zh-CN" w:bidi="ar"/>
              </w:rPr>
              <w:t>□公众号/小程序/SDK</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bottom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eastAsia="zh-CN" w:bidi="ar"/>
              </w:rPr>
            </w:pPr>
            <w:r>
              <w:rPr>
                <w:rFonts w:hint="eastAsia" w:ascii="新宋体" w:hAnsi="新宋体" w:eastAsia="新宋体" w:cs="新宋体"/>
                <w:color w:val="000000"/>
                <w:sz w:val="21"/>
                <w:szCs w:val="21"/>
                <w:lang w:eastAsia="zh-CN" w:bidi="ar"/>
              </w:rPr>
              <w:t>□线下用户被扫</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u w:val="single"/>
                <w:lang w:eastAsia="zh-CN"/>
              </w:rPr>
            </w:pPr>
            <w:r>
              <w:rPr>
                <w:rFonts w:hint="eastAsia" w:ascii="新宋体" w:hAnsi="新宋体" w:eastAsia="新宋体" w:cs="新宋体"/>
                <w:color w:val="000000"/>
                <w:sz w:val="21"/>
                <w:szCs w:val="21"/>
                <w:u w:val="single"/>
                <w:lang w:eastAsia="zh-CN"/>
              </w:rPr>
              <w:t xml:space="preserve">   </w:t>
            </w:r>
            <w:r>
              <w:rPr>
                <w:rFonts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restart"/>
            <w:tcBorders>
              <w:top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□支付宝支付</w:t>
            </w: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 xml:space="preserve">□WEB/API </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□H5</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bidi="ar"/>
              </w:rPr>
              <w:t>SDK</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bottom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eastAsia="zh-CN" w:bidi="ar"/>
              </w:rPr>
              <w:t>□线下用户被扫</w:t>
            </w:r>
          </w:p>
        </w:tc>
        <w:tc>
          <w:tcPr>
            <w:tcW w:w="4852" w:type="dxa"/>
            <w:tcBorders>
              <w:top w:val="single" w:color="auto" w:sz="8" w:space="0"/>
              <w:left w:val="single" w:color="auto" w:sz="8" w:space="0"/>
              <w:bottom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u w:val="single"/>
                <w:lang w:eastAsia="zh-CN"/>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w:t>
            </w:r>
            <w:r>
              <w:rPr>
                <w:rFonts w:hint="eastAsia" w:ascii="新宋体" w:hAnsi="新宋体" w:eastAsia="新宋体" w:cs="新宋体"/>
                <w:color w:val="000000"/>
                <w:sz w:val="21"/>
                <w:szCs w:val="21"/>
                <w:u w:val="single"/>
                <w:lang w:eastAsia="zh-CN"/>
              </w:rPr>
              <w:t>元</w:t>
            </w:r>
            <w:r>
              <w:rPr>
                <w:rFonts w:hint="eastAsia" w:ascii="新宋体" w:hAnsi="新宋体" w:eastAsia="新宋体" w:cs="新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tcBorders>
              <w:top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Fonts w:hint="eastAsia" w:ascii="新宋体" w:hAnsi="新宋体" w:eastAsia="新宋体" w:cs="新宋体"/>
                <w:color w:val="000000"/>
                <w:sz w:val="21"/>
                <w:szCs w:val="21"/>
                <w:lang w:eastAsia="zh-CN" w:bidi="ar"/>
              </w:rPr>
              <w:t>云闪付支付</w:t>
            </w:r>
          </w:p>
        </w:tc>
        <w:tc>
          <w:tcPr>
            <w:tcW w:w="1490" w:type="dxa"/>
            <w:tcBorders>
              <w:top w:val="single" w:color="auto" w:sz="8" w:space="0"/>
              <w:left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□WEB/API</w:t>
            </w:r>
          </w:p>
        </w:tc>
        <w:tc>
          <w:tcPr>
            <w:tcW w:w="4852" w:type="dxa"/>
            <w:tcBorders>
              <w:top w:val="single" w:color="auto" w:sz="8" w:space="0"/>
              <w:lef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u w:val="single"/>
                <w:lang w:eastAsia="zh-CN"/>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%（最低手续费_____元）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restart"/>
            <w:tcBorders>
              <w:top w:val="single" w:color="auto" w:sz="8" w:space="0"/>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w:t>
            </w:r>
            <w:r>
              <w:rPr>
                <w:rFonts w:hint="eastAsia" w:ascii="新宋体" w:hAnsi="新宋体" w:eastAsia="新宋体" w:cs="新宋体"/>
                <w:color w:val="000000"/>
                <w:sz w:val="21"/>
                <w:szCs w:val="21"/>
                <w:lang w:eastAsia="zh-CN" w:bidi="ar"/>
              </w:rPr>
              <w:t>数字人民币支付</w:t>
            </w:r>
          </w:p>
        </w:tc>
        <w:tc>
          <w:tcPr>
            <w:tcW w:w="1490" w:type="dxa"/>
            <w:tcBorders>
              <w:top w:val="single" w:color="auto" w:sz="8" w:space="0"/>
              <w:left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eastAsia="zh-CN" w:bidi="ar"/>
              </w:rPr>
            </w:pPr>
            <w:r>
              <w:rPr>
                <w:rFonts w:hint="eastAsia" w:ascii="新宋体" w:hAnsi="新宋体" w:eastAsia="新宋体" w:cs="新宋体"/>
                <w:color w:val="000000"/>
                <w:sz w:val="21"/>
                <w:szCs w:val="21"/>
                <w:lang w:eastAsia="zh-CN" w:bidi="ar"/>
              </w:rPr>
              <w:t>□移动端</w:t>
            </w:r>
          </w:p>
        </w:tc>
        <w:tc>
          <w:tcPr>
            <w:tcW w:w="4852" w:type="dxa"/>
            <w:vMerge w:val="restart"/>
            <w:tcBorders>
              <w:top w:val="single" w:color="auto" w:sz="8" w:space="0"/>
              <w:left w:val="single" w:color="auto" w:sz="8" w:space="0"/>
            </w:tcBorders>
            <w:shd w:val="clear" w:color="auto" w:fill="auto"/>
            <w:vAlign w:val="center"/>
          </w:tcPr>
          <w:p>
            <w:pPr>
              <w:spacing w:line="240" w:lineRule="exact"/>
              <w:rPr>
                <w:rFonts w:ascii="新宋体" w:hAnsi="新宋体" w:eastAsia="新宋体" w:cs="新宋体"/>
                <w:color w:val="000000"/>
                <w:sz w:val="21"/>
                <w:szCs w:val="21"/>
                <w:lang w:eastAsia="zh-CN"/>
              </w:rPr>
            </w:pPr>
            <w:r>
              <w:rPr>
                <w:rFonts w:hint="eastAsia" w:ascii="新宋体" w:hAnsi="新宋体" w:eastAsia="新宋体" w:cs="新宋体"/>
                <w:color w:val="000000"/>
                <w:sz w:val="21"/>
                <w:szCs w:val="21"/>
                <w:u w:val="single"/>
                <w:lang w:eastAsia="zh-CN"/>
              </w:rPr>
              <w:t xml:space="preserve">  </w:t>
            </w:r>
            <w:r>
              <w:rPr>
                <w:rFonts w:ascii="新宋体" w:hAnsi="新宋体" w:eastAsia="新宋体" w:cs="新宋体"/>
                <w:color w:val="000000"/>
                <w:sz w:val="21"/>
                <w:szCs w:val="21"/>
                <w:u w:val="single"/>
                <w:lang w:eastAsia="zh-CN"/>
              </w:rPr>
              <w:t xml:space="preserve"> 0</w:t>
            </w: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%（最低手续费__</w:t>
            </w:r>
            <w:r>
              <w:rPr>
                <w:rFonts w:ascii="新宋体" w:hAnsi="新宋体" w:eastAsia="新宋体" w:cs="新宋体"/>
                <w:color w:val="000000"/>
                <w:sz w:val="21"/>
                <w:szCs w:val="21"/>
                <w:u w:val="single"/>
                <w:lang w:eastAsia="zh-CN"/>
              </w:rPr>
              <w:t>0</w:t>
            </w:r>
            <w:r>
              <w:rPr>
                <w:rFonts w:hint="eastAsia" w:ascii="新宋体" w:hAnsi="新宋体" w:eastAsia="新宋体" w:cs="新宋体"/>
                <w:color w:val="000000"/>
                <w:sz w:val="21"/>
                <w:szCs w:val="21"/>
                <w:lang w:eastAsia="zh-CN"/>
              </w:rPr>
              <w:t>__元）</w:t>
            </w:r>
          </w:p>
          <w:p>
            <w:pPr>
              <w:spacing w:line="240" w:lineRule="exact"/>
              <w:rPr>
                <w:rFonts w:ascii="新宋体" w:hAnsi="新宋体" w:eastAsia="新宋体" w:cs="新宋体"/>
                <w:color w:val="000000"/>
                <w:sz w:val="21"/>
                <w:szCs w:val="21"/>
                <w:lang w:eastAsia="zh-CN"/>
              </w:rPr>
            </w:pPr>
            <w:r>
              <w:rPr>
                <w:rFonts w:hint="eastAsia" w:ascii="新宋体" w:hAnsi="新宋体" w:eastAsia="新宋体" w:cs="新宋体"/>
                <w:color w:val="000000"/>
                <w:sz w:val="21"/>
                <w:szCs w:val="21"/>
                <w:lang w:eastAsia="zh-CN"/>
              </w:rPr>
              <w:t>注：该栏数字人民币报价仅限数字人民币试点期间，后期会随政策及市场变化等因素作浮动调整。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lang w:eastAsia="zh-CN" w:bidi="ar"/>
              </w:rPr>
            </w:pPr>
          </w:p>
        </w:tc>
        <w:tc>
          <w:tcPr>
            <w:tcW w:w="1490" w:type="dxa"/>
            <w:tcBorders>
              <w:top w:val="single" w:color="auto" w:sz="8" w:space="0"/>
              <w:left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eastAsia="zh-CN" w:bidi="ar"/>
              </w:rPr>
              <w:t>□线下用户主扫</w:t>
            </w:r>
          </w:p>
        </w:tc>
        <w:tc>
          <w:tcPr>
            <w:tcW w:w="4852" w:type="dxa"/>
            <w:vMerge w:val="continue"/>
            <w:tcBorders>
              <w:left w:val="single" w:color="auto" w:sz="8" w:space="0"/>
            </w:tcBorders>
            <w:shd w:val="clear" w:color="auto" w:fill="auto"/>
            <w:vAlign w:val="center"/>
          </w:tcPr>
          <w:p>
            <w:pPr>
              <w:spacing w:line="240" w:lineRule="exact"/>
              <w:rPr>
                <w:rFonts w:ascii="新宋体" w:hAnsi="新宋体" w:eastAsia="新宋体" w:cs="新宋体"/>
                <w:color w:val="000000"/>
                <w:sz w:val="21"/>
                <w:szCs w:val="21"/>
                <w:u w:val="single"/>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vMerge w:val="continue"/>
            <w:tcBorders>
              <w:righ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lang w:bidi="ar"/>
              </w:rPr>
            </w:pPr>
          </w:p>
        </w:tc>
        <w:tc>
          <w:tcPr>
            <w:tcW w:w="1490" w:type="dxa"/>
            <w:tcBorders>
              <w:top w:val="single" w:color="auto" w:sz="8" w:space="0"/>
              <w:left w:val="single" w:color="auto" w:sz="8" w:space="0"/>
              <w:right w:val="single" w:color="auto" w:sz="8" w:space="0"/>
            </w:tcBorders>
            <w:shd w:val="clear" w:color="auto" w:fill="auto"/>
            <w:vAlign w:val="center"/>
          </w:tcPr>
          <w:p>
            <w:pPr>
              <w:widowControl/>
              <w:spacing w:line="240" w:lineRule="exact"/>
              <w:textAlignment w:val="center"/>
              <w:rPr>
                <w:rFonts w:ascii="新宋体" w:hAnsi="新宋体" w:eastAsia="新宋体" w:cs="新宋体"/>
                <w:color w:val="000000"/>
                <w:sz w:val="21"/>
                <w:szCs w:val="21"/>
                <w:lang w:eastAsia="zh-CN" w:bidi="ar"/>
              </w:rPr>
            </w:pPr>
            <w:r>
              <w:rPr>
                <w:rFonts w:hint="eastAsia" w:ascii="新宋体" w:hAnsi="新宋体" w:eastAsia="新宋体" w:cs="新宋体"/>
                <w:color w:val="000000"/>
                <w:sz w:val="21"/>
                <w:szCs w:val="21"/>
                <w:lang w:eastAsia="zh-CN" w:bidi="ar"/>
              </w:rPr>
              <w:t>□线下用户被扫</w:t>
            </w:r>
          </w:p>
        </w:tc>
        <w:tc>
          <w:tcPr>
            <w:tcW w:w="4852" w:type="dxa"/>
            <w:vMerge w:val="continue"/>
            <w:tcBorders>
              <w:left w:val="single" w:color="auto" w:sz="8" w:space="0"/>
            </w:tcBorders>
            <w:shd w:val="clear" w:color="auto" w:fill="auto"/>
            <w:vAlign w:val="center"/>
          </w:tcPr>
          <w:p>
            <w:pPr>
              <w:widowControl/>
              <w:spacing w:line="240" w:lineRule="exact"/>
              <w:rPr>
                <w:rFonts w:ascii="新宋体" w:hAnsi="新宋体" w:eastAsia="新宋体" w:cs="新宋体"/>
                <w:color w:val="000000"/>
                <w:sz w:val="21"/>
                <w:szCs w:val="21"/>
                <w:u w:val="single"/>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shd w:val="clear" w:color="auto" w:fill="auto"/>
            <w:vAlign w:val="center"/>
          </w:tcPr>
          <w:p>
            <w:pPr>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rPr>
              <w:t>收银台结算</w:t>
            </w:r>
          </w:p>
        </w:tc>
        <w:tc>
          <w:tcPr>
            <w:tcW w:w="1490" w:type="dxa"/>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w:t>
            </w:r>
            <w:r>
              <w:rPr>
                <w:rFonts w:hint="eastAsia" w:ascii="新宋体" w:hAnsi="新宋体" w:eastAsia="新宋体" w:cs="新宋体"/>
                <w:color w:val="000000"/>
                <w:sz w:val="21"/>
                <w:szCs w:val="21"/>
                <w:lang w:eastAsia="zh-CN" w:bidi="ar"/>
              </w:rPr>
              <w:t>境内</w:t>
            </w:r>
          </w:p>
        </w:tc>
        <w:tc>
          <w:tcPr>
            <w:tcW w:w="4852" w:type="dxa"/>
            <w:shd w:val="clear" w:color="auto" w:fill="auto"/>
            <w:vAlign w:val="bottom"/>
          </w:tcPr>
          <w:p>
            <w:pPr>
              <w:spacing w:line="240" w:lineRule="exact"/>
              <w:rPr>
                <w:rFonts w:ascii="新宋体" w:hAnsi="新宋体" w:eastAsia="新宋体" w:cs="新宋体"/>
                <w:i/>
                <w:color w:val="000000"/>
                <w:sz w:val="21"/>
                <w:szCs w:val="21"/>
                <w:lang w:eastAsia="zh-CN"/>
              </w:rPr>
            </w:pPr>
            <w:r>
              <w:rPr>
                <w:rFonts w:hint="eastAsia" w:ascii="新宋体" w:hAnsi="新宋体" w:eastAsia="新宋体" w:cs="新宋体"/>
                <w:color w:val="000000"/>
                <w:sz w:val="21"/>
                <w:szCs w:val="21"/>
                <w:u w:val="single"/>
                <w:lang w:eastAsia="zh-CN"/>
              </w:rPr>
              <w:t xml:space="preserve">       元</w:t>
            </w:r>
            <w:r>
              <w:rPr>
                <w:rFonts w:hint="eastAsia" w:ascii="新宋体" w:hAnsi="新宋体" w:eastAsia="新宋体" w:cs="新宋体"/>
                <w:color w:val="000000"/>
                <w:sz w:val="21"/>
                <w:szCs w:val="21"/>
                <w:lang w:eastAsia="zh-CN"/>
              </w:rPr>
              <w:t>/笔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30" w:hRule="atLeast"/>
          <w:jc w:val="center"/>
        </w:trPr>
        <w:tc>
          <w:tcPr>
            <w:tcW w:w="9207" w:type="dxa"/>
            <w:gridSpan w:val="3"/>
            <w:shd w:val="clear" w:color="auto" w:fill="B2B2B2"/>
            <w:vAlign w:val="center"/>
          </w:tcPr>
          <w:p>
            <w:pPr>
              <w:widowControl/>
              <w:spacing w:line="240" w:lineRule="exact"/>
              <w:textAlignment w:val="center"/>
              <w:rPr>
                <w:rFonts w:ascii="新宋体" w:hAnsi="新宋体" w:eastAsia="新宋体" w:cs="新宋体"/>
                <w:color w:val="000000"/>
                <w:sz w:val="21"/>
                <w:szCs w:val="21"/>
                <w:lang w:eastAsia="zh-CN"/>
              </w:rPr>
            </w:pPr>
            <w:r>
              <w:rPr>
                <w:rFonts w:hint="eastAsia" w:ascii="新宋体" w:hAnsi="新宋体" w:eastAsia="新宋体" w:cs="新宋体"/>
                <w:b/>
                <w:color w:val="000000"/>
                <w:sz w:val="21"/>
                <w:szCs w:val="21"/>
                <w:lang w:bidi="ar"/>
              </w:rPr>
              <w:t>分账产品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29" w:hRule="atLeast"/>
          <w:jc w:val="center"/>
        </w:trPr>
        <w:tc>
          <w:tcPr>
            <w:tcW w:w="2865" w:type="dxa"/>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eastAsia="zh-CN" w:bidi="ar"/>
              </w:rPr>
            </w:pPr>
            <w:r>
              <w:rPr>
                <w:rFonts w:hint="eastAsia" w:ascii="新宋体" w:hAnsi="新宋体" w:eastAsia="新宋体" w:cs="新宋体"/>
                <w:b/>
                <w:color w:val="000000"/>
                <w:sz w:val="21"/>
                <w:szCs w:val="21"/>
                <w:lang w:eastAsia="zh-CN" w:bidi="ar"/>
              </w:rPr>
              <w:t>服务内容</w:t>
            </w:r>
          </w:p>
        </w:tc>
        <w:tc>
          <w:tcPr>
            <w:tcW w:w="1490" w:type="dxa"/>
            <w:shd w:val="clear" w:color="auto" w:fill="F1F1F1" w:themeFill="background1" w:themeFillShade="F2"/>
            <w:vAlign w:val="center"/>
          </w:tcPr>
          <w:p>
            <w:pPr>
              <w:widowControl/>
              <w:spacing w:line="200" w:lineRule="exact"/>
              <w:jc w:val="center"/>
              <w:textAlignment w:val="center"/>
              <w:rPr>
                <w:rFonts w:ascii="新宋体" w:hAnsi="新宋体" w:eastAsia="新宋体" w:cs="新宋体"/>
                <w:color w:val="000000"/>
                <w:sz w:val="21"/>
                <w:szCs w:val="21"/>
                <w:lang w:bidi="ar"/>
              </w:rPr>
            </w:pPr>
            <w:r>
              <w:rPr>
                <w:rFonts w:hint="eastAsia" w:ascii="新宋体" w:hAnsi="新宋体" w:eastAsia="新宋体" w:cs="新宋体"/>
                <w:b/>
                <w:color w:val="000000"/>
                <w:sz w:val="21"/>
                <w:szCs w:val="21"/>
                <w:lang w:eastAsia="zh-CN" w:bidi="ar"/>
              </w:rPr>
              <w:t>接入方式</w:t>
            </w:r>
          </w:p>
        </w:tc>
        <w:tc>
          <w:tcPr>
            <w:tcW w:w="4852" w:type="dxa"/>
            <w:shd w:val="clear" w:color="auto" w:fill="F1F1F1" w:themeFill="background1" w:themeFillShade="F2"/>
            <w:vAlign w:val="center"/>
          </w:tcPr>
          <w:p>
            <w:pPr>
              <w:spacing w:line="200" w:lineRule="exact"/>
              <w:jc w:val="center"/>
              <w:textAlignment w:val="center"/>
              <w:rPr>
                <w:rFonts w:ascii="新宋体" w:hAnsi="新宋体" w:eastAsia="新宋体" w:cs="新宋体"/>
                <w:color w:val="000000"/>
                <w:sz w:val="21"/>
                <w:szCs w:val="21"/>
                <w:lang w:eastAsia="zh-CN"/>
              </w:rPr>
            </w:pPr>
            <w:r>
              <w:rPr>
                <w:rFonts w:hint="eastAsia" w:ascii="新宋体" w:hAnsi="新宋体" w:eastAsia="新宋体" w:cs="新宋体"/>
                <w:b/>
                <w:color w:val="000000"/>
                <w:sz w:val="21"/>
                <w:szCs w:val="21"/>
                <w:lang w:eastAsia="zh-CN" w:bidi="ar"/>
              </w:rPr>
              <w:t>服务费用标准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eastAsia="zh-CN" w:bidi="ar"/>
              </w:rPr>
              <w:t>分账到境内</w:t>
            </w:r>
          </w:p>
        </w:tc>
        <w:tc>
          <w:tcPr>
            <w:tcW w:w="1490" w:type="dxa"/>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□API</w:t>
            </w:r>
          </w:p>
        </w:tc>
        <w:tc>
          <w:tcPr>
            <w:tcW w:w="4852" w:type="dxa"/>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eastAsia="zh-CN"/>
              </w:rPr>
              <w:t>___________%</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shd w:val="clear" w:color="auto" w:fill="auto"/>
            <w:vAlign w:val="center"/>
          </w:tcPr>
          <w:p>
            <w:pPr>
              <w:widowControl/>
              <w:spacing w:line="240" w:lineRule="exact"/>
              <w:textAlignment w:val="center"/>
              <w:rPr>
                <w:rFonts w:ascii="新宋体" w:hAnsi="新宋体" w:eastAsia="新宋体" w:cs="新宋体"/>
                <w:color w:val="000000"/>
                <w:sz w:val="21"/>
                <w:szCs w:val="21"/>
                <w:lang w:eastAsia="zh-CN" w:bidi="ar"/>
              </w:rPr>
            </w:pPr>
            <w:r>
              <w:rPr>
                <w:rFonts w:hint="eastAsia" w:ascii="新宋体" w:hAnsi="新宋体" w:eastAsia="新宋体" w:cs="新宋体"/>
                <w:color w:val="000000"/>
                <w:sz w:val="21"/>
                <w:szCs w:val="21"/>
                <w:lang w:eastAsia="zh-CN" w:bidi="ar"/>
              </w:rPr>
              <w:t>□</w:t>
            </w:r>
            <w:r>
              <w:rPr>
                <w:rStyle w:val="21"/>
                <w:rFonts w:hint="eastAsia" w:ascii="新宋体" w:hAnsi="新宋体" w:eastAsia="新宋体" w:cs="新宋体"/>
                <w:sz w:val="21"/>
                <w:szCs w:val="21"/>
                <w:lang w:eastAsia="zh-CN" w:bidi="ar"/>
              </w:rPr>
              <w:t>分账到境外</w:t>
            </w:r>
          </w:p>
        </w:tc>
        <w:tc>
          <w:tcPr>
            <w:tcW w:w="1490" w:type="dxa"/>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□API</w:t>
            </w:r>
          </w:p>
        </w:tc>
        <w:tc>
          <w:tcPr>
            <w:tcW w:w="4852" w:type="dxa"/>
            <w:shd w:val="clear" w:color="auto" w:fill="auto"/>
            <w:vAlign w:val="center"/>
          </w:tcPr>
          <w:p>
            <w:pPr>
              <w:widowControl/>
              <w:spacing w:line="240" w:lineRule="exact"/>
              <w:textAlignment w:val="center"/>
              <w:rPr>
                <w:rFonts w:ascii="新宋体" w:hAnsi="新宋体" w:eastAsia="新宋体" w:cs="新宋体"/>
                <w:color w:val="000000"/>
                <w:sz w:val="21"/>
                <w:szCs w:val="21"/>
                <w:lang w:eastAsia="zh-CN"/>
              </w:rPr>
            </w:pPr>
            <w:r>
              <w:rPr>
                <w:rFonts w:hint="eastAsia" w:ascii="新宋体" w:hAnsi="新宋体" w:eastAsia="新宋体" w:cs="新宋体"/>
                <w:color w:val="000000"/>
                <w:sz w:val="21"/>
                <w:szCs w:val="21"/>
                <w:u w:val="single"/>
                <w:lang w:eastAsia="zh-CN"/>
              </w:rPr>
              <w:t xml:space="preserve">       </w:t>
            </w:r>
            <w:r>
              <w:rPr>
                <w:rFonts w:hint="eastAsia" w:ascii="新宋体" w:hAnsi="新宋体" w:eastAsia="新宋体" w:cs="新宋体"/>
                <w:color w:val="000000"/>
                <w:sz w:val="21"/>
                <w:szCs w:val="21"/>
                <w:lang w:eastAsia="zh-CN"/>
              </w:rPr>
              <w:t>%，</w:t>
            </w:r>
            <w:r>
              <w:rPr>
                <w:rFonts w:hint="eastAsia" w:ascii="新宋体" w:hAnsi="新宋体" w:eastAsia="新宋体" w:cs="新宋体"/>
                <w:bCs/>
                <w:color w:val="000000"/>
                <w:sz w:val="21"/>
                <w:szCs w:val="21"/>
                <w:lang w:eastAsia="zh-CN" w:bidi="ar"/>
              </w:rPr>
              <w:t>起结金额</w:t>
            </w:r>
            <w:r>
              <w:rPr>
                <w:rFonts w:hint="eastAsia" w:ascii="新宋体" w:hAnsi="新宋体" w:eastAsia="新宋体" w:cs="新宋体"/>
                <w:color w:val="000000"/>
                <w:sz w:val="21"/>
                <w:szCs w:val="21"/>
                <w:u w:val="single"/>
                <w:lang w:eastAsia="zh-CN"/>
              </w:rPr>
              <w:t xml:space="preserve">        </w:t>
            </w:r>
            <w:r>
              <w:rPr>
                <w:rStyle w:val="21"/>
                <w:rFonts w:hint="eastAsia" w:ascii="新宋体" w:hAnsi="新宋体" w:eastAsia="新宋体" w:cs="新宋体"/>
                <w:sz w:val="21"/>
                <w:szCs w:val="21"/>
                <w:lang w:eastAsia="zh-CN" w:bidi="ar"/>
              </w:rPr>
              <w:t>元</w:t>
            </w:r>
            <w:r>
              <w:rPr>
                <w:rStyle w:val="21"/>
                <w:rFonts w:hint="eastAsia" w:ascii="新宋体" w:hAnsi="新宋体" w:eastAsia="新宋体" w:cs="新宋体"/>
                <w:i/>
                <w:iCs/>
                <w:color w:val="0070C0"/>
                <w:sz w:val="21"/>
                <w:szCs w:val="21"/>
                <w:lang w:eastAsia="zh-CN" w:bidi="ar"/>
              </w:rPr>
              <w:t>（结算币种：人民币）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16" w:hRule="atLeast"/>
          <w:jc w:val="center"/>
        </w:trPr>
        <w:tc>
          <w:tcPr>
            <w:tcW w:w="9207" w:type="dxa"/>
            <w:gridSpan w:val="3"/>
            <w:shd w:val="clear" w:color="auto" w:fill="B2B2B2"/>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b/>
                <w:color w:val="000000"/>
                <w:sz w:val="21"/>
                <w:szCs w:val="21"/>
                <w:lang w:bidi="ar"/>
              </w:rPr>
              <w:t>其他产品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17" w:hRule="atLeast"/>
          <w:jc w:val="center"/>
        </w:trPr>
        <w:tc>
          <w:tcPr>
            <w:tcW w:w="2865" w:type="dxa"/>
            <w:shd w:val="clear" w:color="auto" w:fill="F1F1F1" w:themeFill="background1" w:themeFillShade="F2"/>
            <w:vAlign w:val="center"/>
          </w:tcPr>
          <w:p>
            <w:pPr>
              <w:widowControl/>
              <w:spacing w:line="200" w:lineRule="exact"/>
              <w:jc w:val="center"/>
              <w:textAlignment w:val="center"/>
              <w:rPr>
                <w:rFonts w:ascii="新宋体" w:hAnsi="新宋体" w:eastAsia="新宋体" w:cs="新宋体"/>
                <w:b/>
                <w:color w:val="000000"/>
                <w:sz w:val="21"/>
                <w:szCs w:val="21"/>
                <w:lang w:bidi="ar"/>
              </w:rPr>
            </w:pPr>
            <w:r>
              <w:rPr>
                <w:rFonts w:hint="eastAsia" w:ascii="新宋体" w:hAnsi="新宋体" w:eastAsia="新宋体" w:cs="新宋体"/>
                <w:b/>
                <w:color w:val="000000"/>
                <w:sz w:val="21"/>
                <w:szCs w:val="21"/>
                <w:lang w:eastAsia="zh-CN" w:bidi="ar"/>
              </w:rPr>
              <w:t>服务内容</w:t>
            </w:r>
          </w:p>
        </w:tc>
        <w:tc>
          <w:tcPr>
            <w:tcW w:w="1490" w:type="dxa"/>
            <w:shd w:val="clear" w:color="auto" w:fill="F1F1F1" w:themeFill="background1" w:themeFillShade="F2"/>
            <w:vAlign w:val="center"/>
          </w:tcPr>
          <w:p>
            <w:pPr>
              <w:widowControl/>
              <w:spacing w:line="200" w:lineRule="exact"/>
              <w:jc w:val="center"/>
              <w:textAlignment w:val="center"/>
              <w:rPr>
                <w:rFonts w:ascii="新宋体" w:hAnsi="新宋体" w:eastAsia="新宋体" w:cs="新宋体"/>
                <w:color w:val="000000"/>
                <w:sz w:val="21"/>
                <w:szCs w:val="21"/>
                <w:lang w:bidi="ar"/>
              </w:rPr>
            </w:pPr>
            <w:r>
              <w:rPr>
                <w:rFonts w:hint="eastAsia" w:ascii="新宋体" w:hAnsi="新宋体" w:eastAsia="新宋体" w:cs="新宋体"/>
                <w:b/>
                <w:color w:val="000000"/>
                <w:sz w:val="21"/>
                <w:szCs w:val="21"/>
                <w:lang w:eastAsia="zh-CN" w:bidi="ar"/>
              </w:rPr>
              <w:t>接入方式</w:t>
            </w:r>
          </w:p>
        </w:tc>
        <w:tc>
          <w:tcPr>
            <w:tcW w:w="4852" w:type="dxa"/>
            <w:shd w:val="clear" w:color="auto" w:fill="F1F1F1" w:themeFill="background1" w:themeFillShade="F2"/>
            <w:vAlign w:val="center"/>
          </w:tcPr>
          <w:p>
            <w:pPr>
              <w:spacing w:line="200" w:lineRule="exact"/>
              <w:jc w:val="center"/>
              <w:textAlignment w:val="center"/>
              <w:rPr>
                <w:rFonts w:ascii="新宋体" w:hAnsi="新宋体" w:eastAsia="新宋体" w:cs="新宋体"/>
                <w:color w:val="000000"/>
                <w:sz w:val="21"/>
                <w:szCs w:val="21"/>
              </w:rPr>
            </w:pPr>
            <w:r>
              <w:rPr>
                <w:rFonts w:hint="eastAsia" w:ascii="新宋体" w:hAnsi="新宋体" w:eastAsia="新宋体" w:cs="新宋体"/>
                <w:b/>
                <w:color w:val="000000"/>
                <w:sz w:val="21"/>
                <w:szCs w:val="21"/>
                <w:lang w:eastAsia="zh-CN" w:bidi="ar"/>
              </w:rPr>
              <w:t>服务费用标准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bidi="ar"/>
              </w:rPr>
              <w:t>实名认证服务</w:t>
            </w:r>
          </w:p>
        </w:tc>
        <w:tc>
          <w:tcPr>
            <w:tcW w:w="1490" w:type="dxa"/>
            <w:shd w:val="clear" w:color="auto" w:fill="auto"/>
            <w:vAlign w:val="center"/>
          </w:tcPr>
          <w:p>
            <w:pPr>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□API</w:t>
            </w:r>
          </w:p>
        </w:tc>
        <w:tc>
          <w:tcPr>
            <w:tcW w:w="4852" w:type="dxa"/>
            <w:shd w:val="clear" w:color="auto" w:fill="auto"/>
            <w:vAlign w:val="center"/>
          </w:tcPr>
          <w:p>
            <w:pPr>
              <w:widowControl/>
              <w:spacing w:line="240" w:lineRule="exact"/>
              <w:textAlignment w:val="center"/>
              <w:rPr>
                <w:rFonts w:ascii="新宋体" w:hAnsi="新宋体" w:eastAsia="新宋体" w:cs="新宋体"/>
                <w:color w:val="000000"/>
                <w:sz w:val="21"/>
                <w:szCs w:val="21"/>
                <w:lang w:eastAsia="zh-CN"/>
              </w:rPr>
            </w:pPr>
            <w:r>
              <w:rPr>
                <w:rFonts w:hint="eastAsia" w:ascii="新宋体" w:hAnsi="新宋体" w:eastAsia="新宋体" w:cs="新宋体"/>
                <w:color w:val="000000"/>
                <w:sz w:val="21"/>
                <w:szCs w:val="21"/>
                <w:u w:val="single"/>
                <w:lang w:eastAsia="zh-CN"/>
              </w:rPr>
              <w:t xml:space="preserve">       元</w:t>
            </w:r>
            <w:r>
              <w:rPr>
                <w:rFonts w:hint="eastAsia" w:ascii="新宋体" w:hAnsi="新宋体" w:eastAsia="新宋体" w:cs="新宋体"/>
                <w:color w:val="000000"/>
                <w:sz w:val="21"/>
                <w:szCs w:val="21"/>
                <w:lang w:eastAsia="zh-CN"/>
              </w:rPr>
              <w:t>/笔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shd w:val="clear" w:color="auto" w:fill="auto"/>
            <w:vAlign w:val="center"/>
          </w:tcPr>
          <w:p>
            <w:pPr>
              <w:widowControl/>
              <w:spacing w:line="240" w:lineRule="exact"/>
              <w:textAlignment w:val="center"/>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eastAsia="zh-CN" w:bidi="ar"/>
              </w:rPr>
              <w:t>数字人民币强校验</w:t>
            </w:r>
          </w:p>
        </w:tc>
        <w:tc>
          <w:tcPr>
            <w:tcW w:w="1490" w:type="dxa"/>
            <w:shd w:val="clear" w:color="auto" w:fill="auto"/>
            <w:vAlign w:val="bottom"/>
          </w:tcPr>
          <w:p>
            <w:pPr>
              <w:spacing w:line="240" w:lineRule="exact"/>
              <w:rPr>
                <w:rFonts w:ascii="新宋体" w:hAnsi="新宋体" w:eastAsia="新宋体" w:cs="新宋体"/>
                <w:color w:val="000000"/>
                <w:sz w:val="21"/>
                <w:szCs w:val="21"/>
                <w:lang w:bidi="ar"/>
              </w:rPr>
            </w:pPr>
            <w:r>
              <w:rPr>
                <w:rFonts w:hint="eastAsia" w:ascii="新宋体" w:hAnsi="新宋体" w:eastAsia="新宋体" w:cs="新宋体"/>
                <w:color w:val="000000"/>
                <w:sz w:val="21"/>
                <w:szCs w:val="21"/>
                <w:lang w:bidi="ar"/>
              </w:rPr>
              <w:t>□API</w:t>
            </w:r>
          </w:p>
        </w:tc>
        <w:tc>
          <w:tcPr>
            <w:tcW w:w="4852" w:type="dxa"/>
            <w:shd w:val="clear" w:color="auto" w:fill="auto"/>
            <w:vAlign w:val="center"/>
          </w:tcPr>
          <w:p>
            <w:pPr>
              <w:widowControl/>
              <w:spacing w:line="240" w:lineRule="exact"/>
              <w:textAlignment w:val="center"/>
              <w:rPr>
                <w:rFonts w:ascii="新宋体" w:hAnsi="新宋体" w:eastAsia="新宋体" w:cs="新宋体"/>
                <w:color w:val="000000"/>
                <w:sz w:val="21"/>
                <w:szCs w:val="21"/>
                <w:u w:val="single"/>
                <w:lang w:eastAsia="zh-CN"/>
              </w:rPr>
            </w:pPr>
            <w:r>
              <w:rPr>
                <w:rFonts w:hint="eastAsia" w:ascii="新宋体" w:hAnsi="新宋体" w:eastAsia="新宋体" w:cs="新宋体"/>
                <w:color w:val="000000"/>
                <w:sz w:val="21"/>
                <w:szCs w:val="21"/>
                <w:u w:val="single"/>
                <w:lang w:eastAsia="zh-CN"/>
              </w:rPr>
              <w:t xml:space="preserve">       元</w:t>
            </w:r>
            <w:r>
              <w:rPr>
                <w:rFonts w:hint="eastAsia" w:ascii="新宋体" w:hAnsi="新宋体" w:eastAsia="新宋体" w:cs="新宋体"/>
                <w:color w:val="000000"/>
                <w:sz w:val="21"/>
                <w:szCs w:val="21"/>
                <w:lang w:eastAsia="zh-CN"/>
              </w:rPr>
              <w:t>/笔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3" w:hRule="atLeast"/>
          <w:jc w:val="center"/>
        </w:trPr>
        <w:tc>
          <w:tcPr>
            <w:tcW w:w="2865" w:type="dxa"/>
            <w:shd w:val="clear" w:color="auto" w:fill="auto"/>
            <w:vAlign w:val="center"/>
          </w:tcPr>
          <w:p>
            <w:pPr>
              <w:widowControl/>
              <w:spacing w:line="240" w:lineRule="exact"/>
              <w:textAlignment w:val="center"/>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w:t>
            </w:r>
            <w:r>
              <w:rPr>
                <w:rStyle w:val="21"/>
                <w:rFonts w:hint="eastAsia" w:ascii="新宋体" w:hAnsi="新宋体" w:eastAsia="新宋体" w:cs="新宋体"/>
                <w:sz w:val="21"/>
                <w:szCs w:val="21"/>
                <w:lang w:bidi="ar"/>
              </w:rPr>
              <w:t>支付单报送</w:t>
            </w:r>
          </w:p>
        </w:tc>
        <w:tc>
          <w:tcPr>
            <w:tcW w:w="1490" w:type="dxa"/>
            <w:shd w:val="clear" w:color="auto" w:fill="auto"/>
            <w:vAlign w:val="bottom"/>
          </w:tcPr>
          <w:p>
            <w:pPr>
              <w:spacing w:line="240" w:lineRule="exact"/>
              <w:rPr>
                <w:rFonts w:ascii="新宋体" w:hAnsi="新宋体" w:eastAsia="新宋体" w:cs="新宋体"/>
                <w:color w:val="000000"/>
                <w:sz w:val="21"/>
                <w:szCs w:val="21"/>
              </w:rPr>
            </w:pPr>
            <w:r>
              <w:rPr>
                <w:rFonts w:hint="eastAsia" w:ascii="新宋体" w:hAnsi="新宋体" w:eastAsia="新宋体" w:cs="新宋体"/>
                <w:color w:val="000000"/>
                <w:sz w:val="21"/>
                <w:szCs w:val="21"/>
                <w:lang w:bidi="ar"/>
              </w:rPr>
              <w:t>□API</w:t>
            </w:r>
          </w:p>
        </w:tc>
        <w:tc>
          <w:tcPr>
            <w:tcW w:w="4852" w:type="dxa"/>
            <w:shd w:val="clear" w:color="auto" w:fill="auto"/>
            <w:vAlign w:val="center"/>
          </w:tcPr>
          <w:p>
            <w:pPr>
              <w:widowControl/>
              <w:spacing w:line="240" w:lineRule="exact"/>
              <w:jc w:val="center"/>
              <w:textAlignment w:val="center"/>
              <w:rPr>
                <w:rFonts w:ascii="新宋体" w:hAnsi="新宋体" w:eastAsia="新宋体" w:cs="新宋体"/>
                <w:color w:val="000000"/>
                <w:sz w:val="21"/>
                <w:szCs w:val="21"/>
                <w:lang w:eastAsia="zh-CN"/>
              </w:rPr>
            </w:pPr>
          </w:p>
        </w:tc>
      </w:tr>
    </w:tbl>
    <w:p>
      <w:pPr>
        <w:pStyle w:val="15"/>
        <w:tabs>
          <w:tab w:val="left" w:pos="7828"/>
          <w:tab w:val="left" w:pos="8991"/>
        </w:tabs>
        <w:spacing w:line="276" w:lineRule="auto"/>
        <w:rPr>
          <w:rFonts w:ascii="新宋体" w:hAnsi="新宋体" w:eastAsia="新宋体" w:cs="新宋体"/>
          <w:sz w:val="21"/>
          <w:szCs w:val="21"/>
          <w:lang w:eastAsia="zh-CN"/>
        </w:rPr>
      </w:pPr>
    </w:p>
    <w:p>
      <w:pPr>
        <w:pStyle w:val="15"/>
        <w:tabs>
          <w:tab w:val="left" w:pos="7828"/>
          <w:tab w:val="left" w:pos="8991"/>
        </w:tabs>
        <w:spacing w:line="276" w:lineRule="auto"/>
        <w:rPr>
          <w:rFonts w:ascii="新宋体" w:hAnsi="新宋体" w:eastAsia="新宋体" w:cs="新宋体"/>
          <w:sz w:val="21"/>
          <w:szCs w:val="21"/>
          <w:lang w:eastAsia="zh-CN"/>
        </w:rPr>
      </w:pPr>
      <w:r>
        <w:rPr>
          <w:rFonts w:hint="eastAsia" w:ascii="新宋体" w:hAnsi="新宋体" w:eastAsia="新宋体" w:cs="新宋体"/>
          <w:sz w:val="21"/>
          <w:szCs w:val="21"/>
          <w:lang w:eastAsia="zh-CN"/>
        </w:rPr>
        <w:t>注：</w:t>
      </w:r>
    </w:p>
    <w:p>
      <w:pPr>
        <w:pStyle w:val="15"/>
        <w:tabs>
          <w:tab w:val="left" w:pos="7828"/>
          <w:tab w:val="left" w:pos="8991"/>
        </w:tabs>
        <w:spacing w:line="276" w:lineRule="auto"/>
        <w:rPr>
          <w:rFonts w:ascii="新宋体" w:hAnsi="新宋体" w:eastAsia="新宋体" w:cs="新宋体"/>
          <w:sz w:val="21"/>
          <w:szCs w:val="21"/>
          <w:lang w:eastAsia="zh-CN"/>
        </w:rPr>
      </w:pPr>
      <w:r>
        <w:rPr>
          <w:rFonts w:hint="eastAsia" w:ascii="新宋体" w:hAnsi="新宋体" w:eastAsia="新宋体" w:cs="新宋体"/>
          <w:sz w:val="21"/>
          <w:szCs w:val="21"/>
          <w:lang w:eastAsia="zh-CN"/>
        </w:rPr>
        <w:t>1、□选的部分，选择时请使用“</w:t>
      </w:r>
      <w:r>
        <w:rPr>
          <w:rFonts w:hint="eastAsia" w:ascii="新宋体" w:hAnsi="新宋体" w:eastAsia="新宋体" w:cs="新宋体"/>
          <w:sz w:val="21"/>
          <w:szCs w:val="21"/>
          <w:lang w:eastAsia="zh-CN"/>
        </w:rPr>
        <w:sym w:font="Wingdings" w:char="F0FE"/>
      </w:r>
      <w:r>
        <w:rPr>
          <w:rFonts w:hint="eastAsia" w:ascii="新宋体" w:hAnsi="新宋体" w:eastAsia="新宋体" w:cs="新宋体"/>
          <w:sz w:val="21"/>
          <w:szCs w:val="21"/>
          <w:lang w:eastAsia="zh-CN"/>
        </w:rPr>
        <w:t>”， 不选择时请不作任何标记。</w:t>
      </w:r>
    </w:p>
    <w:p>
      <w:pPr>
        <w:pStyle w:val="15"/>
        <w:tabs>
          <w:tab w:val="left" w:pos="7828"/>
          <w:tab w:val="left" w:pos="8991"/>
        </w:tabs>
        <w:spacing w:line="276" w:lineRule="auto"/>
        <w:rPr>
          <w:rFonts w:ascii="新宋体" w:hAnsi="新宋体" w:eastAsia="新宋体" w:cs="新宋体"/>
          <w:sz w:val="21"/>
          <w:szCs w:val="21"/>
          <w:lang w:eastAsia="zh-CN"/>
        </w:rPr>
      </w:pPr>
      <w:r>
        <w:rPr>
          <w:rFonts w:hint="eastAsia" w:ascii="新宋体" w:hAnsi="新宋体" w:eastAsia="新宋体" w:cs="新宋体"/>
          <w:sz w:val="21"/>
          <w:szCs w:val="21"/>
          <w:lang w:eastAsia="zh-CN"/>
        </w:rPr>
        <w:t>2、微信支付的特殊行业是指：在线图书/视频/音乐、网络门户/资讯/论坛、网络游戏、网络直播/软件/建站、网络推广/网络广告、网络团购服务平台、在线旅游服务平台、在线订餐服务平台。</w:t>
      </w: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p>
      <w:pPr>
        <w:rPr>
          <w:rFonts w:ascii="新宋体" w:hAnsi="新宋体" w:eastAsia="新宋体" w:cs="新宋体"/>
          <w:sz w:val="21"/>
          <w:szCs w:val="21"/>
          <w:lang w:eastAsia="zh-CN"/>
        </w:rPr>
      </w:pPr>
    </w:p>
    <w:sectPr>
      <w:headerReference r:id="rId5" w:type="default"/>
      <w:footerReference r:id="rId6" w:type="default"/>
      <w:pgSz w:w="11900" w:h="16840"/>
      <w:pgMar w:top="1062" w:right="1800" w:bottom="1047" w:left="1800"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olor w:val="000000" w:themeColor="text1"/>
        <w14:textFill>
          <w14:solidFill>
            <w14:schemeClr w14:val="tx1"/>
          </w14:solidFill>
        </w14:textFill>
      </w:rPr>
    </w:pP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lang w:val="zh-CN"/>
        <w14:textFill>
          <w14:solidFill>
            <w14:schemeClr w14:val="tx1"/>
          </w14:solidFill>
        </w14:textFill>
      </w:rPr>
      <w:t xml:space="preserve"> /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NUMPAGES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13</w:t>
    </w:r>
    <w:r>
      <w:rPr>
        <w:color w:val="000000" w:themeColor="text1"/>
        <w14:textFill>
          <w14:solidFill>
            <w14:schemeClr w14:val="tx1"/>
          </w14:solidFill>
        </w14:textFill>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olor w:val="000000" w:themeColor="text1"/>
        <w14:textFill>
          <w14:solidFill>
            <w14:schemeClr w14:val="tx1"/>
          </w14:solidFill>
        </w14:textFill>
      </w:rPr>
    </w:pP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lang w:val="zh-CN"/>
        <w14:textFill>
          <w14:solidFill>
            <w14:schemeClr w14:val="tx1"/>
          </w14:solidFill>
        </w14:textFill>
      </w:rPr>
      <w:t xml:space="preserve"> /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NUMPAGES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13</w:t>
    </w:r>
    <w:r>
      <w:rPr>
        <w:color w:val="000000" w:themeColor="text1"/>
        <w14:textFill>
          <w14:solidFill>
            <w14:schemeClr w14:val="tx1"/>
          </w14:solidFill>
        </w14:textFill>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left"/>
    </w:pPr>
  </w:p>
  <w:p>
    <w:pPr>
      <w:pStyle w:val="6"/>
      <w:wordWrap w:val="0"/>
      <w:jc w:val="right"/>
    </w:pPr>
    <w:r>
      <w:t xml:space="preserve"> </w:t>
    </w:r>
    <w:r>
      <w:rPr>
        <w:lang w:eastAsia="zh-CN"/>
      </w:rPr>
      <w:drawing>
        <wp:inline distT="0" distB="0" distL="0" distR="0">
          <wp:extent cx="336550" cy="23685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014" cy="239531"/>
                  </a:xfrm>
                  <a:prstGeom prst="rect">
                    <a:avLst/>
                  </a:prstGeom>
                </pic:spPr>
              </pic:pic>
            </a:graphicData>
          </a:graphic>
        </wp:inline>
      </w:drawing>
    </w:r>
    <w:r>
      <w:t xml:space="preserve">                                                         </w:t>
    </w:r>
    <w:r>
      <w:rPr>
        <w:lang w:eastAsia="zh-CN"/>
      </w:rPr>
      <w:drawing>
        <wp:inline distT="0" distB="0" distL="0" distR="0">
          <wp:extent cx="1576070" cy="27051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91275" cy="2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left"/>
    </w:pPr>
  </w:p>
  <w:p>
    <w:pPr>
      <w:pStyle w:val="6"/>
      <w:wordWrap w:val="0"/>
      <w:jc w:val="right"/>
    </w:pPr>
    <w:r>
      <w:t xml:space="preserve"> </w:t>
    </w:r>
    <w:r>
      <w:rPr>
        <w:lang w:eastAsia="zh-CN"/>
      </w:rPr>
      <w:drawing>
        <wp:inline distT="0" distB="0" distL="0" distR="0">
          <wp:extent cx="336550" cy="23685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014" cy="239531"/>
                  </a:xfrm>
                  <a:prstGeom prst="rect">
                    <a:avLst/>
                  </a:prstGeom>
                </pic:spPr>
              </pic:pic>
            </a:graphicData>
          </a:graphic>
        </wp:inline>
      </w:drawing>
    </w:r>
    <w:r>
      <w:t xml:space="preserve">                                                         </w:t>
    </w:r>
    <w:r>
      <w:rPr>
        <w:lang w:eastAsia="zh-CN"/>
      </w:rPr>
      <w:drawing>
        <wp:inline distT="0" distB="0" distL="0" distR="0">
          <wp:extent cx="1576070" cy="27051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91275" cy="2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0EA3"/>
    <w:multiLevelType w:val="multilevel"/>
    <w:tmpl w:val="01750EA3"/>
    <w:lvl w:ilvl="0" w:tentative="0">
      <w:start w:val="1"/>
      <w:numFmt w:val="chineseCountingThousand"/>
      <w:suff w:val="space"/>
      <w:lvlText w:val="第%1条"/>
      <w:lvlJc w:val="left"/>
      <w:pPr>
        <w:ind w:left="42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7A32036"/>
    <w:multiLevelType w:val="multilevel"/>
    <w:tmpl w:val="07A32036"/>
    <w:lvl w:ilvl="0" w:tentative="0">
      <w:start w:val="1"/>
      <w:numFmt w:val="chineseCountingThousand"/>
      <w:suff w:val="space"/>
      <w:lvlText w:val="第%1条"/>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CD8519A"/>
    <w:multiLevelType w:val="multilevel"/>
    <w:tmpl w:val="1CD8519A"/>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DC16CE"/>
    <w:multiLevelType w:val="multilevel"/>
    <w:tmpl w:val="25DC16CE"/>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503069"/>
    <w:multiLevelType w:val="multilevel"/>
    <w:tmpl w:val="42503069"/>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6828B5"/>
    <w:multiLevelType w:val="multilevel"/>
    <w:tmpl w:val="476828B5"/>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097F51"/>
    <w:multiLevelType w:val="multilevel"/>
    <w:tmpl w:val="4A097F51"/>
    <w:lvl w:ilvl="0" w:tentative="0">
      <w:start w:val="1"/>
      <w:numFmt w:val="chineseCountingThousand"/>
      <w:suff w:val="space"/>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5D0E93"/>
    <w:multiLevelType w:val="multilevel"/>
    <w:tmpl w:val="4A5D0E93"/>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B732BC"/>
    <w:multiLevelType w:val="multilevel"/>
    <w:tmpl w:val="54B732BC"/>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0971F7"/>
    <w:multiLevelType w:val="multilevel"/>
    <w:tmpl w:val="7A0971F7"/>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5"/>
  </w:num>
  <w:num w:numId="5">
    <w:abstractNumId w:val="6"/>
  </w:num>
  <w:num w:numId="6">
    <w:abstractNumId w:val="7"/>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B2"/>
    <w:rsid w:val="000205C6"/>
    <w:rsid w:val="00026A41"/>
    <w:rsid w:val="00027CA3"/>
    <w:rsid w:val="000448D8"/>
    <w:rsid w:val="00044A3D"/>
    <w:rsid w:val="0004795A"/>
    <w:rsid w:val="000523A2"/>
    <w:rsid w:val="000622B1"/>
    <w:rsid w:val="00094584"/>
    <w:rsid w:val="00097C26"/>
    <w:rsid w:val="000A48FA"/>
    <w:rsid w:val="000B2FE9"/>
    <w:rsid w:val="000C066E"/>
    <w:rsid w:val="000D6CFE"/>
    <w:rsid w:val="000E449D"/>
    <w:rsid w:val="000E6922"/>
    <w:rsid w:val="000F010F"/>
    <w:rsid w:val="000F3413"/>
    <w:rsid w:val="000F537C"/>
    <w:rsid w:val="00100D18"/>
    <w:rsid w:val="0011182D"/>
    <w:rsid w:val="00117037"/>
    <w:rsid w:val="001568F2"/>
    <w:rsid w:val="00156E92"/>
    <w:rsid w:val="00164387"/>
    <w:rsid w:val="001673A9"/>
    <w:rsid w:val="001835AC"/>
    <w:rsid w:val="00186FC8"/>
    <w:rsid w:val="0019150D"/>
    <w:rsid w:val="001A015B"/>
    <w:rsid w:val="001A6A56"/>
    <w:rsid w:val="001A6EE4"/>
    <w:rsid w:val="001B02F1"/>
    <w:rsid w:val="001B6190"/>
    <w:rsid w:val="001D00C8"/>
    <w:rsid w:val="001D45D9"/>
    <w:rsid w:val="001E0DDD"/>
    <w:rsid w:val="001E11BD"/>
    <w:rsid w:val="001F4C10"/>
    <w:rsid w:val="002100C8"/>
    <w:rsid w:val="00222036"/>
    <w:rsid w:val="00223C82"/>
    <w:rsid w:val="002341E3"/>
    <w:rsid w:val="00234830"/>
    <w:rsid w:val="00236924"/>
    <w:rsid w:val="00237B78"/>
    <w:rsid w:val="00242BC8"/>
    <w:rsid w:val="00251F33"/>
    <w:rsid w:val="002612B5"/>
    <w:rsid w:val="002709A5"/>
    <w:rsid w:val="002A1AD3"/>
    <w:rsid w:val="002B2082"/>
    <w:rsid w:val="002B3DC2"/>
    <w:rsid w:val="002C18E7"/>
    <w:rsid w:val="002C4691"/>
    <w:rsid w:val="00320770"/>
    <w:rsid w:val="00320FA8"/>
    <w:rsid w:val="00356501"/>
    <w:rsid w:val="00356DAB"/>
    <w:rsid w:val="00385FC0"/>
    <w:rsid w:val="003A06C7"/>
    <w:rsid w:val="003A74B1"/>
    <w:rsid w:val="003D3C0D"/>
    <w:rsid w:val="003F4F26"/>
    <w:rsid w:val="00403118"/>
    <w:rsid w:val="004135DB"/>
    <w:rsid w:val="004206CB"/>
    <w:rsid w:val="00431B1D"/>
    <w:rsid w:val="004732A8"/>
    <w:rsid w:val="004922E5"/>
    <w:rsid w:val="004C6ED6"/>
    <w:rsid w:val="005019C3"/>
    <w:rsid w:val="00502174"/>
    <w:rsid w:val="0050321E"/>
    <w:rsid w:val="00514311"/>
    <w:rsid w:val="0051756C"/>
    <w:rsid w:val="00532124"/>
    <w:rsid w:val="0054113A"/>
    <w:rsid w:val="005433FC"/>
    <w:rsid w:val="00555F9C"/>
    <w:rsid w:val="00557FB2"/>
    <w:rsid w:val="00563AE7"/>
    <w:rsid w:val="00576579"/>
    <w:rsid w:val="005802B6"/>
    <w:rsid w:val="0058531C"/>
    <w:rsid w:val="00585ADB"/>
    <w:rsid w:val="005A3A89"/>
    <w:rsid w:val="005C396F"/>
    <w:rsid w:val="005C7EEA"/>
    <w:rsid w:val="005D61C4"/>
    <w:rsid w:val="005E45F2"/>
    <w:rsid w:val="005E720E"/>
    <w:rsid w:val="00603B09"/>
    <w:rsid w:val="0060702D"/>
    <w:rsid w:val="00610239"/>
    <w:rsid w:val="0061328B"/>
    <w:rsid w:val="00614CA1"/>
    <w:rsid w:val="00625C67"/>
    <w:rsid w:val="00632A30"/>
    <w:rsid w:val="00642532"/>
    <w:rsid w:val="00661E3C"/>
    <w:rsid w:val="00664B9E"/>
    <w:rsid w:val="00677DD0"/>
    <w:rsid w:val="00687B86"/>
    <w:rsid w:val="006B035B"/>
    <w:rsid w:val="006C6697"/>
    <w:rsid w:val="006D1FC1"/>
    <w:rsid w:val="006E22E6"/>
    <w:rsid w:val="006E56E6"/>
    <w:rsid w:val="006F3394"/>
    <w:rsid w:val="007015EC"/>
    <w:rsid w:val="007028F2"/>
    <w:rsid w:val="00707E52"/>
    <w:rsid w:val="0071191F"/>
    <w:rsid w:val="00712D93"/>
    <w:rsid w:val="007162ED"/>
    <w:rsid w:val="0072116D"/>
    <w:rsid w:val="0072477A"/>
    <w:rsid w:val="007265A7"/>
    <w:rsid w:val="00732042"/>
    <w:rsid w:val="00773896"/>
    <w:rsid w:val="007813A2"/>
    <w:rsid w:val="007B0EC2"/>
    <w:rsid w:val="007B6316"/>
    <w:rsid w:val="007C3796"/>
    <w:rsid w:val="007F2E1C"/>
    <w:rsid w:val="007F3DB7"/>
    <w:rsid w:val="00801489"/>
    <w:rsid w:val="00813576"/>
    <w:rsid w:val="008166A9"/>
    <w:rsid w:val="008246AF"/>
    <w:rsid w:val="008323AF"/>
    <w:rsid w:val="0084331B"/>
    <w:rsid w:val="00851E46"/>
    <w:rsid w:val="00873833"/>
    <w:rsid w:val="008839B9"/>
    <w:rsid w:val="00885D9A"/>
    <w:rsid w:val="008C2CDA"/>
    <w:rsid w:val="008C31BA"/>
    <w:rsid w:val="008C4E97"/>
    <w:rsid w:val="00905380"/>
    <w:rsid w:val="009425EC"/>
    <w:rsid w:val="00945F75"/>
    <w:rsid w:val="009536E0"/>
    <w:rsid w:val="00963921"/>
    <w:rsid w:val="009827EF"/>
    <w:rsid w:val="0098710C"/>
    <w:rsid w:val="00995533"/>
    <w:rsid w:val="009955F1"/>
    <w:rsid w:val="009A6EB2"/>
    <w:rsid w:val="009B0938"/>
    <w:rsid w:val="009D4969"/>
    <w:rsid w:val="009D5005"/>
    <w:rsid w:val="009E0DAE"/>
    <w:rsid w:val="009E22B7"/>
    <w:rsid w:val="009E5613"/>
    <w:rsid w:val="00A159B7"/>
    <w:rsid w:val="00A31FEF"/>
    <w:rsid w:val="00A35D1B"/>
    <w:rsid w:val="00A40C60"/>
    <w:rsid w:val="00A6085D"/>
    <w:rsid w:val="00A60C53"/>
    <w:rsid w:val="00A76DA2"/>
    <w:rsid w:val="00A77371"/>
    <w:rsid w:val="00A84E13"/>
    <w:rsid w:val="00A9294C"/>
    <w:rsid w:val="00A94192"/>
    <w:rsid w:val="00A94CA3"/>
    <w:rsid w:val="00A960C6"/>
    <w:rsid w:val="00AB2017"/>
    <w:rsid w:val="00AE34EC"/>
    <w:rsid w:val="00AF5891"/>
    <w:rsid w:val="00B075B7"/>
    <w:rsid w:val="00B115C9"/>
    <w:rsid w:val="00B27018"/>
    <w:rsid w:val="00B31BA7"/>
    <w:rsid w:val="00B50DAD"/>
    <w:rsid w:val="00B75F4C"/>
    <w:rsid w:val="00B83E5E"/>
    <w:rsid w:val="00BA7C9E"/>
    <w:rsid w:val="00BB051D"/>
    <w:rsid w:val="00BC3555"/>
    <w:rsid w:val="00BC3721"/>
    <w:rsid w:val="00BD2403"/>
    <w:rsid w:val="00BF6095"/>
    <w:rsid w:val="00C67D60"/>
    <w:rsid w:val="00C826DA"/>
    <w:rsid w:val="00C834F4"/>
    <w:rsid w:val="00C878CA"/>
    <w:rsid w:val="00C907E5"/>
    <w:rsid w:val="00C967DD"/>
    <w:rsid w:val="00CA0E7D"/>
    <w:rsid w:val="00CB7FAF"/>
    <w:rsid w:val="00CC7E4C"/>
    <w:rsid w:val="00CD2A74"/>
    <w:rsid w:val="00CD3356"/>
    <w:rsid w:val="00CD7E44"/>
    <w:rsid w:val="00CE136A"/>
    <w:rsid w:val="00CE1E5C"/>
    <w:rsid w:val="00CF0F19"/>
    <w:rsid w:val="00CF1D39"/>
    <w:rsid w:val="00CF54B7"/>
    <w:rsid w:val="00D01403"/>
    <w:rsid w:val="00D01603"/>
    <w:rsid w:val="00D01C83"/>
    <w:rsid w:val="00D0684A"/>
    <w:rsid w:val="00D16335"/>
    <w:rsid w:val="00D16AB9"/>
    <w:rsid w:val="00D44612"/>
    <w:rsid w:val="00D52EC8"/>
    <w:rsid w:val="00D60ECB"/>
    <w:rsid w:val="00D80041"/>
    <w:rsid w:val="00D8709A"/>
    <w:rsid w:val="00D9069E"/>
    <w:rsid w:val="00DB79E4"/>
    <w:rsid w:val="00DD188E"/>
    <w:rsid w:val="00DF4A75"/>
    <w:rsid w:val="00E32A9E"/>
    <w:rsid w:val="00E514D7"/>
    <w:rsid w:val="00E625CE"/>
    <w:rsid w:val="00E742CE"/>
    <w:rsid w:val="00E775EF"/>
    <w:rsid w:val="00E90153"/>
    <w:rsid w:val="00E95DDC"/>
    <w:rsid w:val="00EA4D45"/>
    <w:rsid w:val="00EA772B"/>
    <w:rsid w:val="00ED365A"/>
    <w:rsid w:val="00EE49A4"/>
    <w:rsid w:val="00F026FD"/>
    <w:rsid w:val="00F05BE9"/>
    <w:rsid w:val="00F20BBA"/>
    <w:rsid w:val="00F26B31"/>
    <w:rsid w:val="00F55CE9"/>
    <w:rsid w:val="00F65725"/>
    <w:rsid w:val="00F65B50"/>
    <w:rsid w:val="00F86BBE"/>
    <w:rsid w:val="00F93C50"/>
    <w:rsid w:val="00FA2B32"/>
    <w:rsid w:val="00FA5D6B"/>
    <w:rsid w:val="00FB3E31"/>
    <w:rsid w:val="00FB7E6E"/>
    <w:rsid w:val="00FC47DD"/>
    <w:rsid w:val="00FC671C"/>
    <w:rsid w:val="00FD0DFA"/>
    <w:rsid w:val="07117B72"/>
    <w:rsid w:val="07E04580"/>
    <w:rsid w:val="08DA62E7"/>
    <w:rsid w:val="09077D81"/>
    <w:rsid w:val="09895685"/>
    <w:rsid w:val="0D60678E"/>
    <w:rsid w:val="0DA2616C"/>
    <w:rsid w:val="12A130C1"/>
    <w:rsid w:val="1AD8757A"/>
    <w:rsid w:val="2160759C"/>
    <w:rsid w:val="22FB7676"/>
    <w:rsid w:val="2E7D1F59"/>
    <w:rsid w:val="2F9E47D8"/>
    <w:rsid w:val="33275E6D"/>
    <w:rsid w:val="34486473"/>
    <w:rsid w:val="40027F58"/>
    <w:rsid w:val="53C75CCC"/>
    <w:rsid w:val="5FC860C9"/>
    <w:rsid w:val="65623E4A"/>
    <w:rsid w:val="668A795A"/>
    <w:rsid w:val="68363782"/>
    <w:rsid w:val="6BD31F2C"/>
    <w:rsid w:val="6DD57869"/>
    <w:rsid w:val="6FE50D7E"/>
    <w:rsid w:val="747319BE"/>
    <w:rsid w:val="78695690"/>
    <w:rsid w:val="7A9BDE31"/>
    <w:rsid w:val="7BFFFF49"/>
    <w:rsid w:val="7F23ABB7"/>
    <w:rsid w:val="7F3425AE"/>
    <w:rsid w:val="DF574D6E"/>
    <w:rsid w:val="DFFF9798"/>
    <w:rsid w:val="E3DFFF48"/>
    <w:rsid w:val="EF3EC28D"/>
    <w:rsid w:val="FEDBA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unhideWhenUsed/>
    <w:qFormat/>
    <w:uiPriority w:val="99"/>
    <w:rPr>
      <w:rFonts w:ascii="宋体" w:eastAsia="宋体"/>
      <w:sz w:val="24"/>
      <w:szCs w:val="24"/>
    </w:rPr>
  </w:style>
  <w:style w:type="paragraph" w:styleId="3">
    <w:name w:val="annotation text"/>
    <w:basedOn w:val="1"/>
    <w:link w:val="18"/>
    <w:unhideWhenUsed/>
    <w:qFormat/>
    <w:uiPriority w:val="99"/>
  </w:style>
  <w:style w:type="paragraph" w:styleId="4">
    <w:name w:val="Balloon Text"/>
    <w:basedOn w:val="1"/>
    <w:link w:val="20"/>
    <w:unhideWhenUsed/>
    <w:qFormat/>
    <w:uiPriority w:val="99"/>
    <w:rPr>
      <w:rFonts w:ascii="宋体" w:eastAsia="宋体"/>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unhideWhenUsed/>
    <w:qFormat/>
    <w:uiPriority w:val="99"/>
    <w:rPr>
      <w:b/>
      <w:bCs/>
    </w:rPr>
  </w:style>
  <w:style w:type="character" w:styleId="10">
    <w:name w:val="page number"/>
    <w:basedOn w:val="9"/>
    <w:unhideWhenUsed/>
    <w:qFormat/>
    <w:uiPriority w:val="99"/>
  </w:style>
  <w:style w:type="character" w:styleId="11">
    <w:name w:val="annotation reference"/>
    <w:basedOn w:val="9"/>
    <w:unhideWhenUsed/>
    <w:qFormat/>
    <w:uiPriority w:val="99"/>
    <w:rPr>
      <w:sz w:val="21"/>
      <w:szCs w:val="21"/>
    </w:rPr>
  </w:style>
  <w:style w:type="character" w:customStyle="1" w:styleId="12">
    <w:name w:val="页脚 字符"/>
    <w:basedOn w:val="9"/>
    <w:link w:val="5"/>
    <w:qFormat/>
    <w:uiPriority w:val="99"/>
    <w:rPr>
      <w:kern w:val="0"/>
      <w:sz w:val="18"/>
      <w:szCs w:val="18"/>
      <w:lang w:eastAsia="en-US"/>
    </w:rPr>
  </w:style>
  <w:style w:type="character" w:customStyle="1" w:styleId="13">
    <w:name w:val="页眉 字符"/>
    <w:basedOn w:val="9"/>
    <w:link w:val="6"/>
    <w:qFormat/>
    <w:uiPriority w:val="99"/>
    <w:rPr>
      <w:kern w:val="0"/>
      <w:sz w:val="18"/>
      <w:szCs w:val="18"/>
      <w:lang w:eastAsia="en-US"/>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列出段落1"/>
    <w:basedOn w:val="1"/>
    <w:qFormat/>
    <w:uiPriority w:val="1"/>
  </w:style>
  <w:style w:type="paragraph" w:customStyle="1" w:styleId="16">
    <w:name w:val="Table Paragraph"/>
    <w:basedOn w:val="1"/>
    <w:qFormat/>
    <w:uiPriority w:val="1"/>
  </w:style>
  <w:style w:type="character" w:customStyle="1" w:styleId="17">
    <w:name w:val="文档结构图 字符"/>
    <w:basedOn w:val="9"/>
    <w:link w:val="2"/>
    <w:semiHidden/>
    <w:qFormat/>
    <w:uiPriority w:val="99"/>
    <w:rPr>
      <w:rFonts w:ascii="宋体" w:eastAsia="宋体"/>
      <w:kern w:val="0"/>
      <w:lang w:eastAsia="en-US"/>
    </w:rPr>
  </w:style>
  <w:style w:type="character" w:customStyle="1" w:styleId="18">
    <w:name w:val="批注文字 字符"/>
    <w:basedOn w:val="9"/>
    <w:link w:val="3"/>
    <w:semiHidden/>
    <w:qFormat/>
    <w:uiPriority w:val="99"/>
    <w:rPr>
      <w:kern w:val="0"/>
      <w:sz w:val="22"/>
      <w:szCs w:val="22"/>
      <w:lang w:eastAsia="en-US"/>
    </w:rPr>
  </w:style>
  <w:style w:type="character" w:customStyle="1" w:styleId="19">
    <w:name w:val="批注主题 字符"/>
    <w:basedOn w:val="18"/>
    <w:link w:val="7"/>
    <w:semiHidden/>
    <w:qFormat/>
    <w:uiPriority w:val="99"/>
    <w:rPr>
      <w:b/>
      <w:bCs/>
      <w:kern w:val="0"/>
      <w:sz w:val="22"/>
      <w:szCs w:val="22"/>
      <w:lang w:eastAsia="en-US"/>
    </w:rPr>
  </w:style>
  <w:style w:type="character" w:customStyle="1" w:styleId="20">
    <w:name w:val="批注框文本 字符"/>
    <w:basedOn w:val="9"/>
    <w:link w:val="4"/>
    <w:semiHidden/>
    <w:qFormat/>
    <w:uiPriority w:val="99"/>
    <w:rPr>
      <w:rFonts w:ascii="宋体" w:eastAsia="宋体"/>
      <w:kern w:val="0"/>
      <w:sz w:val="18"/>
      <w:szCs w:val="18"/>
      <w:lang w:eastAsia="en-US"/>
    </w:rPr>
  </w:style>
  <w:style w:type="character" w:customStyle="1" w:styleId="21">
    <w:name w:val="font71"/>
    <w:basedOn w:val="9"/>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1719</Words>
  <Characters>9801</Characters>
  <Lines>81</Lines>
  <Paragraphs>22</Paragraphs>
  <TotalTime>64</TotalTime>
  <ScaleCrop>false</ScaleCrop>
  <LinksUpToDate>false</LinksUpToDate>
  <CharactersWithSpaces>11498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2021-03-08T03:59:00Z</dcterms:created>
  <dc:creator>Vince W</dc:creator>
  <cp:lastModifiedBy>00</cp:lastModifiedBy>
  <cp:lastPrinted>2019-06-18T22:31:00Z</cp:lastPrinted>
  <dcterms:modified xsi:type="dcterms:W3CDTF">2021-11-30T03:12:00Z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CFE0E803897643B3A7CE685D55FE69D4</vt:lpwstr>
  </property>
</Properties>
</file>